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5E9" w:rsidRDefault="002874A3">
      <w:pPr>
        <w:spacing w:after="0" w:line="240" w:lineRule="auto"/>
        <w:jc w:val="center"/>
        <w:rPr>
          <w:rFonts w:ascii="Times New Roman" w:hAnsi="Times New Roman"/>
          <w:sz w:val="28"/>
        </w:rPr>
      </w:pPr>
      <w:r>
        <w:rPr>
          <w:rFonts w:ascii="Times New Roman" w:hAnsi="Times New Roman"/>
          <w:sz w:val="28"/>
        </w:rPr>
        <w:t>МІНІСТЕРСТВО ОСВІТИ І НАУКИ УКРАЇНИ</w:t>
      </w:r>
    </w:p>
    <w:p w:rsidR="007155E9" w:rsidRDefault="007155E9">
      <w:pPr>
        <w:spacing w:after="0" w:line="240" w:lineRule="auto"/>
        <w:jc w:val="center"/>
        <w:rPr>
          <w:rFonts w:ascii="Times New Roman" w:hAnsi="Times New Roman"/>
          <w:sz w:val="10"/>
        </w:rPr>
      </w:pPr>
    </w:p>
    <w:p w:rsidR="007155E9" w:rsidRDefault="002874A3">
      <w:pPr>
        <w:spacing w:after="0" w:line="240" w:lineRule="auto"/>
        <w:jc w:val="center"/>
        <w:rPr>
          <w:rFonts w:ascii="Times New Roman" w:hAnsi="Times New Roman"/>
          <w:sz w:val="28"/>
        </w:rPr>
      </w:pPr>
      <w:r>
        <w:rPr>
          <w:rFonts w:ascii="Times New Roman" w:hAnsi="Times New Roman"/>
          <w:sz w:val="28"/>
        </w:rPr>
        <w:t>ХМЕЛЬНИЦЬКА ГУМАНІТАРНО-ПЕДАГОГІЧНА АКАДЕМІЯ</w:t>
      </w:r>
    </w:p>
    <w:p w:rsidR="007155E9" w:rsidRDefault="007155E9">
      <w:pPr>
        <w:spacing w:after="0" w:line="240" w:lineRule="auto"/>
        <w:jc w:val="center"/>
        <w:rPr>
          <w:rFonts w:ascii="Times New Roman" w:hAnsi="Times New Roman"/>
          <w:sz w:val="10"/>
        </w:rPr>
      </w:pPr>
    </w:p>
    <w:p w:rsidR="007155E9" w:rsidRDefault="002874A3">
      <w:pPr>
        <w:spacing w:after="0" w:line="240" w:lineRule="auto"/>
        <w:jc w:val="center"/>
        <w:rPr>
          <w:rFonts w:ascii="Times New Roman" w:hAnsi="Times New Roman"/>
          <w:sz w:val="28"/>
        </w:rPr>
      </w:pPr>
      <w:r>
        <w:rPr>
          <w:rFonts w:ascii="Times New Roman" w:hAnsi="Times New Roman"/>
          <w:sz w:val="28"/>
        </w:rPr>
        <w:t xml:space="preserve">ФАКУЛЬТЕТ ДОШКІЛЬНОЇ ОСВІТИ ТА ПСИХОЛОГІЇ </w:t>
      </w:r>
    </w:p>
    <w:p w:rsidR="007155E9" w:rsidRDefault="007155E9">
      <w:pPr>
        <w:spacing w:after="0" w:line="240" w:lineRule="auto"/>
        <w:jc w:val="center"/>
        <w:rPr>
          <w:rFonts w:ascii="Times New Roman" w:hAnsi="Times New Roman"/>
          <w:sz w:val="10"/>
        </w:rPr>
      </w:pPr>
    </w:p>
    <w:p w:rsidR="007155E9" w:rsidRDefault="007155E9">
      <w:pPr>
        <w:spacing w:after="0" w:line="240" w:lineRule="auto"/>
        <w:jc w:val="center"/>
        <w:rPr>
          <w:rFonts w:ascii="Times New Roman" w:hAnsi="Times New Roman"/>
          <w:sz w:val="28"/>
        </w:rPr>
      </w:pPr>
    </w:p>
    <w:p w:rsidR="007155E9" w:rsidRDefault="002874A3">
      <w:pPr>
        <w:spacing w:after="0" w:line="240" w:lineRule="auto"/>
        <w:jc w:val="center"/>
        <w:rPr>
          <w:rFonts w:ascii="Times New Roman" w:hAnsi="Times New Roman"/>
          <w:sz w:val="28"/>
        </w:rPr>
      </w:pPr>
      <w:r>
        <w:rPr>
          <w:rFonts w:ascii="Times New Roman" w:hAnsi="Times New Roman"/>
          <w:sz w:val="28"/>
        </w:rPr>
        <w:t>Форма навчання: денна</w:t>
      </w:r>
    </w:p>
    <w:p w:rsidR="007155E9" w:rsidRDefault="007155E9">
      <w:pPr>
        <w:spacing w:after="0" w:line="240" w:lineRule="auto"/>
        <w:jc w:val="center"/>
        <w:rPr>
          <w:rFonts w:ascii="Times New Roman" w:hAnsi="Times New Roman"/>
          <w:sz w:val="10"/>
        </w:rPr>
      </w:pPr>
    </w:p>
    <w:p w:rsidR="007155E9" w:rsidRDefault="002874A3">
      <w:pPr>
        <w:spacing w:after="0" w:line="240" w:lineRule="auto"/>
        <w:jc w:val="center"/>
        <w:rPr>
          <w:rFonts w:ascii="Times New Roman" w:hAnsi="Times New Roman"/>
          <w:sz w:val="28"/>
        </w:rPr>
      </w:pPr>
      <w:r>
        <w:rPr>
          <w:rFonts w:ascii="Times New Roman" w:hAnsi="Times New Roman"/>
          <w:sz w:val="28"/>
        </w:rPr>
        <w:t>Кафедра: менеджменту освіти та педагогіки вищої школи</w:t>
      </w:r>
    </w:p>
    <w:p w:rsidR="007155E9" w:rsidRDefault="007155E9">
      <w:pPr>
        <w:spacing w:after="0" w:line="240" w:lineRule="auto"/>
        <w:jc w:val="center"/>
        <w:rPr>
          <w:rFonts w:ascii="Times New Roman" w:hAnsi="Times New Roman"/>
          <w:sz w:val="28"/>
        </w:rPr>
      </w:pPr>
    </w:p>
    <w:p w:rsidR="007155E9" w:rsidRDefault="007155E9">
      <w:pPr>
        <w:spacing w:after="0" w:line="240" w:lineRule="auto"/>
        <w:jc w:val="center"/>
        <w:rPr>
          <w:rFonts w:ascii="Times New Roman" w:hAnsi="Times New Roman"/>
          <w:sz w:val="28"/>
        </w:rPr>
      </w:pPr>
    </w:p>
    <w:p w:rsidR="007155E9" w:rsidRDefault="002874A3">
      <w:pPr>
        <w:spacing w:after="0" w:line="240" w:lineRule="auto"/>
        <w:jc w:val="center"/>
        <w:rPr>
          <w:rFonts w:ascii="Times New Roman" w:hAnsi="Times New Roman"/>
          <w:sz w:val="44"/>
        </w:rPr>
      </w:pPr>
      <w:r>
        <w:rPr>
          <w:rFonts w:ascii="Times New Roman" w:hAnsi="Times New Roman"/>
          <w:sz w:val="44"/>
        </w:rPr>
        <w:t>КВАЛІФІКАЦІЙНА РОБОТА</w:t>
      </w:r>
    </w:p>
    <w:p w:rsidR="007155E9" w:rsidRDefault="002874A3">
      <w:pPr>
        <w:tabs>
          <w:tab w:val="center" w:pos="6233"/>
          <w:tab w:val="right" w:pos="9348"/>
        </w:tabs>
        <w:spacing w:after="0" w:line="240" w:lineRule="auto"/>
        <w:jc w:val="center"/>
        <w:rPr>
          <w:rFonts w:ascii="Times New Roman" w:hAnsi="Times New Roman"/>
          <w:sz w:val="28"/>
        </w:rPr>
      </w:pPr>
      <w:r>
        <w:rPr>
          <w:rFonts w:ascii="Times New Roman" w:hAnsi="Times New Roman"/>
          <w:sz w:val="28"/>
        </w:rPr>
        <w:t xml:space="preserve">на здобуття другого (магістерського) рівня вищої освіти </w:t>
      </w:r>
      <w:r>
        <w:rPr>
          <w:rFonts w:ascii="Times New Roman" w:hAnsi="Times New Roman"/>
          <w:sz w:val="28"/>
        </w:rPr>
        <w:br/>
      </w:r>
    </w:p>
    <w:p w:rsidR="007155E9" w:rsidRDefault="002874A3">
      <w:pPr>
        <w:spacing w:after="0" w:line="240" w:lineRule="auto"/>
        <w:jc w:val="center"/>
        <w:rPr>
          <w:rFonts w:ascii="Times New Roman" w:hAnsi="Times New Roman"/>
          <w:sz w:val="28"/>
        </w:rPr>
      </w:pPr>
      <w:r>
        <w:rPr>
          <w:rFonts w:ascii="Times New Roman" w:hAnsi="Times New Roman"/>
          <w:sz w:val="28"/>
        </w:rPr>
        <w:t xml:space="preserve">на тему: </w:t>
      </w:r>
    </w:p>
    <w:p w:rsidR="007155E9" w:rsidRDefault="007155E9">
      <w:pPr>
        <w:spacing w:after="0" w:line="240" w:lineRule="auto"/>
        <w:jc w:val="center"/>
        <w:rPr>
          <w:rFonts w:ascii="Times New Roman" w:hAnsi="Times New Roman"/>
          <w:sz w:val="16"/>
        </w:rPr>
      </w:pPr>
    </w:p>
    <w:p w:rsidR="007155E9" w:rsidRDefault="002874A3">
      <w:pPr>
        <w:spacing w:after="0" w:line="240" w:lineRule="auto"/>
        <w:jc w:val="center"/>
        <w:rPr>
          <w:rFonts w:ascii="Times New Roman" w:hAnsi="Times New Roman"/>
          <w:b/>
          <w:sz w:val="32"/>
        </w:rPr>
      </w:pPr>
      <w:r>
        <w:rPr>
          <w:rFonts w:ascii="Times New Roman" w:hAnsi="Times New Roman"/>
          <w:b/>
          <w:sz w:val="32"/>
        </w:rPr>
        <w:t xml:space="preserve">Управління туристичним комплексом територіальної громади </w:t>
      </w:r>
    </w:p>
    <w:p w:rsidR="007155E9" w:rsidRDefault="002874A3">
      <w:pPr>
        <w:spacing w:after="0" w:line="240" w:lineRule="auto"/>
        <w:jc w:val="center"/>
        <w:rPr>
          <w:rFonts w:ascii="Times New Roman" w:hAnsi="Times New Roman"/>
          <w:b/>
          <w:sz w:val="32"/>
        </w:rPr>
      </w:pPr>
      <w:r>
        <w:rPr>
          <w:rFonts w:ascii="Times New Roman" w:hAnsi="Times New Roman"/>
          <w:b/>
          <w:sz w:val="32"/>
        </w:rPr>
        <w:t>(на прикладі Хмельницької міської громади)</w:t>
      </w:r>
    </w:p>
    <w:p w:rsidR="007155E9" w:rsidRDefault="007155E9">
      <w:pPr>
        <w:spacing w:after="0" w:line="240" w:lineRule="auto"/>
        <w:jc w:val="center"/>
        <w:rPr>
          <w:rFonts w:ascii="Times New Roman" w:hAnsi="Times New Roman"/>
          <w:sz w:val="32"/>
        </w:rPr>
      </w:pPr>
    </w:p>
    <w:p w:rsidR="007155E9" w:rsidRDefault="007155E9">
      <w:pPr>
        <w:spacing w:after="0" w:line="240" w:lineRule="auto"/>
        <w:jc w:val="center"/>
        <w:rPr>
          <w:rFonts w:ascii="Times New Roman" w:hAnsi="Times New Roman"/>
          <w:sz w:val="32"/>
        </w:rPr>
      </w:pPr>
    </w:p>
    <w:p w:rsidR="007155E9" w:rsidRDefault="007155E9">
      <w:pPr>
        <w:spacing w:after="0" w:line="240" w:lineRule="auto"/>
        <w:jc w:val="center"/>
        <w:rPr>
          <w:rFonts w:ascii="Times New Roman" w:hAnsi="Times New Roman"/>
          <w:sz w:val="32"/>
        </w:rPr>
      </w:pPr>
    </w:p>
    <w:p w:rsidR="007155E9" w:rsidRDefault="007155E9">
      <w:pPr>
        <w:spacing w:after="0" w:line="240" w:lineRule="auto"/>
        <w:jc w:val="center"/>
        <w:rPr>
          <w:rFonts w:ascii="Times New Roman" w:hAnsi="Times New Roman"/>
          <w:sz w:val="32"/>
        </w:rPr>
      </w:pPr>
    </w:p>
    <w:tbl>
      <w:tblPr>
        <w:tblW w:w="0" w:type="auto"/>
        <w:tblInd w:w="4248" w:type="dxa"/>
        <w:tblLook w:val="01E0" w:firstRow="1" w:lastRow="1" w:firstColumn="1" w:lastColumn="1" w:noHBand="0" w:noVBand="0"/>
      </w:tblPr>
      <w:tblGrid>
        <w:gridCol w:w="1679"/>
        <w:gridCol w:w="526"/>
        <w:gridCol w:w="3237"/>
      </w:tblGrid>
      <w:tr w:rsidR="007155E9">
        <w:tc>
          <w:tcPr>
            <w:tcW w:w="5580" w:type="dxa"/>
            <w:gridSpan w:val="3"/>
          </w:tcPr>
          <w:p w:rsidR="007155E9" w:rsidRDefault="002874A3">
            <w:pPr>
              <w:keepNext/>
              <w:widowControl w:val="0"/>
              <w:spacing w:after="0" w:line="240" w:lineRule="auto"/>
              <w:outlineLvl w:val="0"/>
              <w:rPr>
                <w:rFonts w:ascii="Times New Roman" w:hAnsi="Times New Roman"/>
                <w:sz w:val="28"/>
              </w:rPr>
            </w:pPr>
            <w:r>
              <w:rPr>
                <w:rFonts w:ascii="Times New Roman" w:hAnsi="Times New Roman"/>
                <w:sz w:val="28"/>
              </w:rPr>
              <w:t xml:space="preserve">Виконав: магістрант 2 курсу </w:t>
            </w:r>
          </w:p>
          <w:p w:rsidR="007155E9" w:rsidRDefault="008A305F">
            <w:pPr>
              <w:keepNext/>
              <w:widowControl w:val="0"/>
              <w:spacing w:after="0" w:line="240" w:lineRule="auto"/>
              <w:outlineLvl w:val="0"/>
              <w:rPr>
                <w:rFonts w:ascii="Times New Roman" w:hAnsi="Times New Roman"/>
                <w:sz w:val="28"/>
              </w:rPr>
            </w:pPr>
            <w:r>
              <w:rPr>
                <w:rFonts w:ascii="Times New Roman" w:hAnsi="Times New Roman"/>
                <w:sz w:val="28"/>
              </w:rPr>
              <w:t>спеціальності 073</w:t>
            </w:r>
            <w:bookmarkStart w:id="0" w:name="_GoBack"/>
            <w:bookmarkEnd w:id="0"/>
            <w:r w:rsidR="002874A3">
              <w:rPr>
                <w:rFonts w:ascii="Times New Roman" w:hAnsi="Times New Roman"/>
                <w:sz w:val="28"/>
              </w:rPr>
              <w:t xml:space="preserve"> Менеджмент </w:t>
            </w:r>
          </w:p>
        </w:tc>
      </w:tr>
      <w:tr w:rsidR="007155E9">
        <w:tc>
          <w:tcPr>
            <w:tcW w:w="5580" w:type="dxa"/>
            <w:gridSpan w:val="3"/>
            <w:tcBorders>
              <w:top w:val="nil"/>
              <w:left w:val="nil"/>
              <w:bottom w:val="single" w:sz="4" w:space="0" w:color="auto"/>
            </w:tcBorders>
          </w:tcPr>
          <w:p w:rsidR="007155E9" w:rsidRDefault="002874A3">
            <w:pPr>
              <w:keepNext/>
              <w:widowControl w:val="0"/>
              <w:spacing w:after="0" w:line="240" w:lineRule="auto"/>
              <w:jc w:val="both"/>
              <w:outlineLvl w:val="0"/>
              <w:rPr>
                <w:rFonts w:ascii="Times New Roman" w:hAnsi="Times New Roman"/>
                <w:sz w:val="28"/>
              </w:rPr>
            </w:pPr>
            <w:r>
              <w:rPr>
                <w:rFonts w:ascii="Times New Roman" w:hAnsi="Times New Roman"/>
                <w:b/>
                <w:sz w:val="28"/>
              </w:rPr>
              <w:t xml:space="preserve">Ілля ЧАЙКОВСЬКИЙ </w:t>
            </w:r>
          </w:p>
        </w:tc>
      </w:tr>
      <w:tr w:rsidR="007155E9">
        <w:tc>
          <w:tcPr>
            <w:tcW w:w="2219" w:type="dxa"/>
            <w:gridSpan w:val="2"/>
            <w:tcBorders>
              <w:top w:val="single" w:sz="4" w:space="0" w:color="auto"/>
              <w:left w:val="nil"/>
              <w:bottom w:val="nil"/>
              <w:right w:val="nil"/>
            </w:tcBorders>
          </w:tcPr>
          <w:p w:rsidR="007155E9" w:rsidRDefault="002874A3">
            <w:pPr>
              <w:keepNext/>
              <w:widowControl w:val="0"/>
              <w:spacing w:after="0" w:line="240" w:lineRule="auto"/>
              <w:jc w:val="center"/>
              <w:outlineLvl w:val="0"/>
              <w:rPr>
                <w:rFonts w:ascii="Times New Roman" w:hAnsi="Times New Roman"/>
                <w:sz w:val="16"/>
              </w:rPr>
            </w:pPr>
            <w:r>
              <w:rPr>
                <w:rFonts w:ascii="Times New Roman" w:hAnsi="Times New Roman"/>
                <w:sz w:val="16"/>
              </w:rPr>
              <w:t>(прізвище та ініціали)</w:t>
            </w:r>
          </w:p>
        </w:tc>
        <w:tc>
          <w:tcPr>
            <w:tcW w:w="3361" w:type="dxa"/>
          </w:tcPr>
          <w:p w:rsidR="007155E9" w:rsidRDefault="007155E9">
            <w:pPr>
              <w:keepNext/>
              <w:widowControl w:val="0"/>
              <w:spacing w:after="0" w:line="240" w:lineRule="auto"/>
              <w:jc w:val="center"/>
              <w:outlineLvl w:val="0"/>
              <w:rPr>
                <w:rFonts w:ascii="Times New Roman" w:hAnsi="Times New Roman"/>
                <w:sz w:val="28"/>
              </w:rPr>
            </w:pPr>
          </w:p>
        </w:tc>
      </w:tr>
      <w:tr w:rsidR="007155E9">
        <w:tc>
          <w:tcPr>
            <w:tcW w:w="2219" w:type="dxa"/>
            <w:gridSpan w:val="2"/>
          </w:tcPr>
          <w:p w:rsidR="007155E9" w:rsidRDefault="007155E9">
            <w:pPr>
              <w:keepNext/>
              <w:widowControl w:val="0"/>
              <w:spacing w:after="0" w:line="240" w:lineRule="auto"/>
              <w:jc w:val="center"/>
              <w:outlineLvl w:val="0"/>
              <w:rPr>
                <w:rFonts w:ascii="Times New Roman" w:hAnsi="Times New Roman"/>
                <w:sz w:val="16"/>
              </w:rPr>
            </w:pPr>
          </w:p>
        </w:tc>
        <w:tc>
          <w:tcPr>
            <w:tcW w:w="3361" w:type="dxa"/>
          </w:tcPr>
          <w:p w:rsidR="007155E9" w:rsidRDefault="007155E9">
            <w:pPr>
              <w:keepNext/>
              <w:widowControl w:val="0"/>
              <w:spacing w:after="0" w:line="240" w:lineRule="auto"/>
              <w:jc w:val="center"/>
              <w:outlineLvl w:val="0"/>
              <w:rPr>
                <w:rFonts w:ascii="Times New Roman" w:hAnsi="Times New Roman"/>
                <w:sz w:val="28"/>
              </w:rPr>
            </w:pPr>
          </w:p>
        </w:tc>
      </w:tr>
      <w:tr w:rsidR="007155E9">
        <w:tc>
          <w:tcPr>
            <w:tcW w:w="1679" w:type="dxa"/>
          </w:tcPr>
          <w:p w:rsidR="007155E9" w:rsidRDefault="002874A3">
            <w:pPr>
              <w:keepNext/>
              <w:widowControl w:val="0"/>
              <w:spacing w:after="0" w:line="240" w:lineRule="auto"/>
              <w:outlineLvl w:val="0"/>
              <w:rPr>
                <w:rFonts w:ascii="Times New Roman" w:hAnsi="Times New Roman"/>
                <w:sz w:val="28"/>
              </w:rPr>
            </w:pPr>
            <w:r>
              <w:rPr>
                <w:rFonts w:ascii="Times New Roman" w:hAnsi="Times New Roman"/>
                <w:sz w:val="28"/>
              </w:rPr>
              <w:t xml:space="preserve">Керівник: </w:t>
            </w:r>
          </w:p>
        </w:tc>
        <w:tc>
          <w:tcPr>
            <w:tcW w:w="3901" w:type="dxa"/>
            <w:gridSpan w:val="2"/>
            <w:tcBorders>
              <w:top w:val="nil"/>
              <w:left w:val="nil"/>
              <w:bottom w:val="single" w:sz="4" w:space="0" w:color="auto"/>
              <w:right w:val="nil"/>
            </w:tcBorders>
          </w:tcPr>
          <w:p w:rsidR="007155E9" w:rsidRDefault="002874A3">
            <w:pPr>
              <w:keepNext/>
              <w:widowControl w:val="0"/>
              <w:spacing w:after="0" w:line="240" w:lineRule="auto"/>
              <w:jc w:val="center"/>
              <w:outlineLvl w:val="0"/>
              <w:rPr>
                <w:rFonts w:ascii="Times New Roman" w:hAnsi="Times New Roman"/>
                <w:b/>
                <w:sz w:val="28"/>
              </w:rPr>
            </w:pPr>
            <w:r>
              <w:rPr>
                <w:rFonts w:ascii="Times New Roman" w:hAnsi="Times New Roman"/>
                <w:b/>
                <w:sz w:val="28"/>
              </w:rPr>
              <w:t>д.пед.н., професор</w:t>
            </w:r>
          </w:p>
          <w:p w:rsidR="007155E9" w:rsidRDefault="002874A3">
            <w:pPr>
              <w:keepNext/>
              <w:widowControl w:val="0"/>
              <w:spacing w:after="0" w:line="240" w:lineRule="auto"/>
              <w:jc w:val="center"/>
              <w:outlineLvl w:val="0"/>
              <w:rPr>
                <w:rFonts w:ascii="Times New Roman" w:hAnsi="Times New Roman"/>
                <w:b/>
                <w:sz w:val="28"/>
              </w:rPr>
            </w:pPr>
            <w:r>
              <w:rPr>
                <w:rFonts w:ascii="Times New Roman" w:hAnsi="Times New Roman"/>
                <w:b/>
                <w:sz w:val="28"/>
              </w:rPr>
              <w:t>Олександр ГАЛУС</w:t>
            </w:r>
          </w:p>
        </w:tc>
      </w:tr>
      <w:tr w:rsidR="007155E9">
        <w:tc>
          <w:tcPr>
            <w:tcW w:w="1679" w:type="dxa"/>
          </w:tcPr>
          <w:p w:rsidR="007155E9" w:rsidRDefault="007155E9">
            <w:pPr>
              <w:keepNext/>
              <w:widowControl w:val="0"/>
              <w:spacing w:after="0" w:line="240" w:lineRule="auto"/>
              <w:outlineLvl w:val="0"/>
              <w:rPr>
                <w:rFonts w:ascii="Times New Roman" w:hAnsi="Times New Roman"/>
                <w:sz w:val="28"/>
              </w:rPr>
            </w:pPr>
          </w:p>
        </w:tc>
        <w:tc>
          <w:tcPr>
            <w:tcW w:w="3901" w:type="dxa"/>
            <w:gridSpan w:val="2"/>
            <w:tcBorders>
              <w:top w:val="single" w:sz="4" w:space="0" w:color="auto"/>
              <w:left w:val="nil"/>
              <w:bottom w:val="nil"/>
              <w:right w:val="nil"/>
            </w:tcBorders>
          </w:tcPr>
          <w:p w:rsidR="007155E9" w:rsidRDefault="002874A3">
            <w:pPr>
              <w:keepNext/>
              <w:widowControl w:val="0"/>
              <w:spacing w:after="0" w:line="240" w:lineRule="auto"/>
              <w:jc w:val="center"/>
              <w:outlineLvl w:val="0"/>
              <w:rPr>
                <w:rFonts w:ascii="Times New Roman" w:hAnsi="Times New Roman"/>
                <w:sz w:val="28"/>
              </w:rPr>
            </w:pPr>
            <w:r>
              <w:rPr>
                <w:rFonts w:ascii="Times New Roman" w:hAnsi="Times New Roman"/>
                <w:sz w:val="16"/>
              </w:rPr>
              <w:t>(прізвище та ініціали)</w:t>
            </w:r>
          </w:p>
        </w:tc>
      </w:tr>
      <w:tr w:rsidR="007155E9">
        <w:tc>
          <w:tcPr>
            <w:tcW w:w="1679" w:type="dxa"/>
          </w:tcPr>
          <w:p w:rsidR="007155E9" w:rsidRDefault="007155E9">
            <w:pPr>
              <w:keepNext/>
              <w:widowControl w:val="0"/>
              <w:spacing w:after="0" w:line="240" w:lineRule="auto"/>
              <w:outlineLvl w:val="0"/>
              <w:rPr>
                <w:rFonts w:ascii="Times New Roman" w:hAnsi="Times New Roman"/>
                <w:sz w:val="28"/>
              </w:rPr>
            </w:pPr>
          </w:p>
        </w:tc>
        <w:tc>
          <w:tcPr>
            <w:tcW w:w="3901" w:type="dxa"/>
            <w:gridSpan w:val="2"/>
          </w:tcPr>
          <w:p w:rsidR="007155E9" w:rsidRDefault="002874A3">
            <w:pPr>
              <w:keepNext/>
              <w:widowControl w:val="0"/>
              <w:spacing w:after="0" w:line="240" w:lineRule="auto"/>
              <w:jc w:val="center"/>
              <w:outlineLvl w:val="0"/>
              <w:rPr>
                <w:rFonts w:ascii="Times New Roman" w:hAnsi="Times New Roman"/>
                <w:b/>
                <w:sz w:val="28"/>
              </w:rPr>
            </w:pPr>
            <w:r>
              <w:rPr>
                <w:rFonts w:ascii="Times New Roman" w:hAnsi="Times New Roman"/>
                <w:b/>
                <w:sz w:val="28"/>
              </w:rPr>
              <w:t>д.пед.н., доцент</w:t>
            </w:r>
          </w:p>
        </w:tc>
      </w:tr>
      <w:tr w:rsidR="007155E9">
        <w:tc>
          <w:tcPr>
            <w:tcW w:w="1679" w:type="dxa"/>
          </w:tcPr>
          <w:p w:rsidR="007155E9" w:rsidRDefault="002874A3">
            <w:pPr>
              <w:keepNext/>
              <w:widowControl w:val="0"/>
              <w:spacing w:after="0" w:line="240" w:lineRule="auto"/>
              <w:outlineLvl w:val="0"/>
              <w:rPr>
                <w:rFonts w:ascii="Times New Roman" w:hAnsi="Times New Roman"/>
                <w:sz w:val="28"/>
              </w:rPr>
            </w:pPr>
            <w:r>
              <w:rPr>
                <w:rFonts w:ascii="Times New Roman" w:hAnsi="Times New Roman"/>
                <w:sz w:val="28"/>
              </w:rPr>
              <w:t>Рецензент:</w:t>
            </w:r>
          </w:p>
        </w:tc>
        <w:tc>
          <w:tcPr>
            <w:tcW w:w="3901" w:type="dxa"/>
            <w:gridSpan w:val="2"/>
            <w:tcBorders>
              <w:top w:val="nil"/>
              <w:left w:val="nil"/>
              <w:bottom w:val="single" w:sz="4" w:space="0" w:color="auto"/>
              <w:right w:val="nil"/>
            </w:tcBorders>
          </w:tcPr>
          <w:p w:rsidR="007155E9" w:rsidRDefault="002874A3">
            <w:pPr>
              <w:keepNext/>
              <w:widowControl w:val="0"/>
              <w:spacing w:after="0" w:line="240" w:lineRule="auto"/>
              <w:jc w:val="center"/>
              <w:outlineLvl w:val="0"/>
              <w:rPr>
                <w:rFonts w:ascii="Times New Roman" w:hAnsi="Times New Roman"/>
                <w:b/>
                <w:sz w:val="28"/>
              </w:rPr>
            </w:pPr>
            <w:r>
              <w:rPr>
                <w:rFonts w:ascii="Times New Roman" w:hAnsi="Times New Roman"/>
                <w:b/>
                <w:sz w:val="28"/>
              </w:rPr>
              <w:t>Долинська О.О</w:t>
            </w:r>
          </w:p>
        </w:tc>
      </w:tr>
      <w:tr w:rsidR="007155E9">
        <w:tc>
          <w:tcPr>
            <w:tcW w:w="1679" w:type="dxa"/>
          </w:tcPr>
          <w:p w:rsidR="007155E9" w:rsidRDefault="007155E9">
            <w:pPr>
              <w:keepNext/>
              <w:widowControl w:val="0"/>
              <w:spacing w:after="0" w:line="240" w:lineRule="auto"/>
              <w:jc w:val="center"/>
              <w:outlineLvl w:val="0"/>
              <w:rPr>
                <w:rFonts w:ascii="Times New Roman" w:hAnsi="Times New Roman"/>
                <w:sz w:val="28"/>
              </w:rPr>
            </w:pPr>
          </w:p>
        </w:tc>
        <w:tc>
          <w:tcPr>
            <w:tcW w:w="3901" w:type="dxa"/>
            <w:gridSpan w:val="2"/>
            <w:tcBorders>
              <w:top w:val="single" w:sz="4" w:space="0" w:color="auto"/>
              <w:left w:val="nil"/>
              <w:bottom w:val="nil"/>
              <w:right w:val="nil"/>
            </w:tcBorders>
          </w:tcPr>
          <w:p w:rsidR="007155E9" w:rsidRDefault="002874A3">
            <w:pPr>
              <w:keepNext/>
              <w:widowControl w:val="0"/>
              <w:spacing w:after="0" w:line="240" w:lineRule="auto"/>
              <w:jc w:val="center"/>
              <w:outlineLvl w:val="0"/>
              <w:rPr>
                <w:rFonts w:ascii="Times New Roman" w:hAnsi="Times New Roman"/>
                <w:sz w:val="28"/>
              </w:rPr>
            </w:pPr>
            <w:r>
              <w:rPr>
                <w:rFonts w:ascii="Times New Roman" w:hAnsi="Times New Roman"/>
                <w:sz w:val="16"/>
              </w:rPr>
              <w:t>(прізвище та ініціали)</w:t>
            </w:r>
          </w:p>
        </w:tc>
      </w:tr>
    </w:tbl>
    <w:p w:rsidR="007155E9" w:rsidRDefault="007155E9">
      <w:pPr>
        <w:keepNext/>
        <w:widowControl w:val="0"/>
        <w:spacing w:after="0" w:line="240" w:lineRule="auto"/>
        <w:jc w:val="center"/>
        <w:outlineLvl w:val="0"/>
        <w:rPr>
          <w:rFonts w:ascii="Times New Roman" w:hAnsi="Times New Roman"/>
          <w:sz w:val="28"/>
        </w:rPr>
      </w:pPr>
    </w:p>
    <w:p w:rsidR="007155E9" w:rsidRDefault="002874A3">
      <w:pPr>
        <w:spacing w:after="0" w:line="240" w:lineRule="auto"/>
        <w:jc w:val="right"/>
        <w:rPr>
          <w:rFonts w:ascii="Times New Roman" w:hAnsi="Times New Roman"/>
          <w:b/>
          <w:sz w:val="28"/>
        </w:rPr>
      </w:pPr>
      <w:r>
        <w:rPr>
          <w:rFonts w:ascii="Times New Roman" w:hAnsi="Times New Roman"/>
          <w:sz w:val="32"/>
          <w:u w:val="single"/>
        </w:rPr>
        <w:br/>
      </w:r>
    </w:p>
    <w:p w:rsidR="007155E9" w:rsidRDefault="007155E9">
      <w:pPr>
        <w:spacing w:after="0" w:line="240" w:lineRule="auto"/>
        <w:jc w:val="center"/>
        <w:rPr>
          <w:rFonts w:ascii="Times New Roman" w:hAnsi="Times New Roman"/>
          <w:b/>
          <w:sz w:val="28"/>
        </w:rPr>
      </w:pPr>
    </w:p>
    <w:p w:rsidR="007155E9" w:rsidRDefault="007155E9">
      <w:pPr>
        <w:spacing w:after="0" w:line="240" w:lineRule="auto"/>
        <w:jc w:val="center"/>
        <w:rPr>
          <w:rFonts w:ascii="Times New Roman" w:hAnsi="Times New Roman"/>
          <w:b/>
          <w:sz w:val="28"/>
        </w:rPr>
      </w:pPr>
    </w:p>
    <w:p w:rsidR="007155E9" w:rsidRDefault="002874A3">
      <w:pPr>
        <w:spacing w:after="0" w:line="240" w:lineRule="auto"/>
        <w:jc w:val="center"/>
        <w:rPr>
          <w:rFonts w:ascii="Times New Roman" w:hAnsi="Times New Roman"/>
          <w:b/>
          <w:sz w:val="28"/>
        </w:rPr>
      </w:pPr>
      <w:r>
        <w:rPr>
          <w:rFonts w:ascii="Times New Roman" w:hAnsi="Times New Roman"/>
          <w:b/>
          <w:sz w:val="28"/>
        </w:rPr>
        <w:t>Хмельницький – 2023 рік</w:t>
      </w:r>
    </w:p>
    <w:p w:rsidR="007155E9" w:rsidRDefault="007155E9">
      <w:pPr>
        <w:tabs>
          <w:tab w:val="right" w:leader="dot" w:pos="9345"/>
        </w:tabs>
        <w:spacing w:after="0" w:line="360" w:lineRule="auto"/>
        <w:ind w:firstLine="720"/>
        <w:jc w:val="center"/>
        <w:rPr>
          <w:rFonts w:ascii="Times New Roman" w:hAnsi="Times New Roman"/>
          <w:b/>
          <w:sz w:val="32"/>
        </w:rPr>
      </w:pPr>
    </w:p>
    <w:p w:rsidR="007155E9" w:rsidRDefault="002874A3">
      <w:pPr>
        <w:tabs>
          <w:tab w:val="right" w:leader="dot" w:pos="9345"/>
        </w:tabs>
        <w:spacing w:after="0" w:line="360" w:lineRule="auto"/>
        <w:jc w:val="center"/>
        <w:rPr>
          <w:rFonts w:ascii="Times New Roman" w:hAnsi="Times New Roman"/>
          <w:b/>
          <w:sz w:val="32"/>
        </w:rPr>
      </w:pPr>
      <w:r>
        <w:rPr>
          <w:rFonts w:ascii="Times New Roman" w:hAnsi="Times New Roman"/>
          <w:b/>
          <w:sz w:val="32"/>
        </w:rPr>
        <w:lastRenderedPageBreak/>
        <w:t>ЗМІСТ</w:t>
      </w:r>
    </w:p>
    <w:tbl>
      <w:tblPr>
        <w:tblW w:w="0" w:type="auto"/>
        <w:tblInd w:w="108" w:type="dxa"/>
        <w:tblLook w:val="04A0" w:firstRow="1" w:lastRow="0" w:firstColumn="1" w:lastColumn="0" w:noHBand="0" w:noVBand="1"/>
      </w:tblPr>
      <w:tblGrid>
        <w:gridCol w:w="517"/>
        <w:gridCol w:w="8027"/>
        <w:gridCol w:w="1038"/>
      </w:tblGrid>
      <w:tr w:rsidR="007155E9">
        <w:trPr>
          <w:trHeight w:val="480"/>
        </w:trPr>
        <w:tc>
          <w:tcPr>
            <w:tcW w:w="540" w:type="dxa"/>
          </w:tcPr>
          <w:p w:rsidR="007155E9" w:rsidRDefault="007155E9">
            <w:pPr>
              <w:tabs>
                <w:tab w:val="right" w:leader="dot" w:pos="9345"/>
              </w:tabs>
              <w:spacing w:after="0" w:line="360" w:lineRule="auto"/>
              <w:jc w:val="center"/>
              <w:rPr>
                <w:rFonts w:ascii="Times New Roman" w:hAnsi="Times New Roman"/>
                <w:b/>
                <w:sz w:val="32"/>
              </w:rPr>
            </w:pPr>
          </w:p>
        </w:tc>
        <w:tc>
          <w:tcPr>
            <w:tcW w:w="8100" w:type="dxa"/>
          </w:tcPr>
          <w:p w:rsidR="007155E9" w:rsidRPr="00146490" w:rsidRDefault="002874A3" w:rsidP="00146490">
            <w:pPr>
              <w:tabs>
                <w:tab w:val="right" w:leader="dot" w:pos="9345"/>
              </w:tabs>
              <w:spacing w:after="0" w:line="360" w:lineRule="auto"/>
              <w:ind w:right="-108" w:hanging="108"/>
              <w:jc w:val="both"/>
              <w:rPr>
                <w:rFonts w:ascii="Times New Roman" w:hAnsi="Times New Roman"/>
                <w:sz w:val="32"/>
                <w:lang w:val="uk-UA"/>
              </w:rPr>
            </w:pPr>
            <w:r>
              <w:rPr>
                <w:rFonts w:ascii="Times New Roman" w:hAnsi="Times New Roman"/>
                <w:b/>
                <w:sz w:val="28"/>
              </w:rPr>
              <w:t xml:space="preserve">ВСТУП </w:t>
            </w:r>
            <w:r>
              <w:rPr>
                <w:rFonts w:ascii="Times New Roman" w:hAnsi="Times New Roman"/>
                <w:sz w:val="28"/>
              </w:rPr>
              <w:t>…………………………………………………………</w:t>
            </w:r>
            <w:r w:rsidR="00146490">
              <w:rPr>
                <w:rFonts w:ascii="Times New Roman" w:hAnsi="Times New Roman"/>
                <w:sz w:val="28"/>
                <w:lang w:val="uk-UA"/>
              </w:rPr>
              <w:t>……..</w:t>
            </w:r>
          </w:p>
        </w:tc>
        <w:tc>
          <w:tcPr>
            <w:tcW w:w="1080" w:type="dxa"/>
          </w:tcPr>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3</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sz w:val="32"/>
              </w:rPr>
            </w:pPr>
            <w:r>
              <w:rPr>
                <w:rFonts w:ascii="Times New Roman" w:hAnsi="Times New Roman"/>
                <w:b/>
                <w:sz w:val="28"/>
              </w:rPr>
              <w:t xml:space="preserve">РОЗДІЛ 1. ТЕОРЕТИЧНИЙ АНАЛІЗ ТУРИСТИЧНОГО КОМПЛЕКСУ ТЕРИТОРІАЛЬНОЇ ГРОМАДИ </w:t>
            </w:r>
            <w:r>
              <w:rPr>
                <w:rFonts w:ascii="Times New Roman" w:hAnsi="Times New Roman"/>
                <w:sz w:val="28"/>
              </w:rPr>
              <w:t>…………………….</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7</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1.1. Теоретичний аналіз педагогічної, довідкової літератури, джерел з управління, наукових праць учених щодо дослідження проблем розвитку туристичного комплексу території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7</w:t>
            </w:r>
          </w:p>
        </w:tc>
      </w:tr>
      <w:tr w:rsidR="007155E9">
        <w:trPr>
          <w:trHeight w:val="480"/>
        </w:trPr>
        <w:tc>
          <w:tcPr>
            <w:tcW w:w="8640" w:type="dxa"/>
            <w:gridSpan w:val="2"/>
          </w:tcPr>
          <w:p w:rsidR="007155E9" w:rsidRPr="00146490" w:rsidRDefault="002874A3" w:rsidP="00146490">
            <w:pPr>
              <w:tabs>
                <w:tab w:val="right" w:leader="dot" w:pos="9345"/>
              </w:tabs>
              <w:spacing w:after="0" w:line="360" w:lineRule="auto"/>
              <w:ind w:right="-108" w:firstLine="432"/>
              <w:jc w:val="both"/>
              <w:rPr>
                <w:rFonts w:ascii="Times New Roman" w:hAnsi="Times New Roman"/>
                <w:b/>
                <w:sz w:val="32"/>
                <w:lang w:val="uk-UA"/>
              </w:rPr>
            </w:pPr>
            <w:r>
              <w:rPr>
                <w:rFonts w:ascii="Times New Roman" w:hAnsi="Times New Roman"/>
                <w:sz w:val="28"/>
              </w:rPr>
              <w:t>1.2. Сутність, структура та зміст туристичного комплексу територіальної громади …………………………………</w:t>
            </w:r>
            <w:r w:rsidR="00146490">
              <w:rPr>
                <w:rFonts w:ascii="Times New Roman" w:hAnsi="Times New Roman"/>
                <w:sz w:val="28"/>
                <w:lang w:val="uk-UA"/>
              </w:rPr>
              <w:t>………………..</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22</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1.3. Сучасний стан об’єктів туристичного комплексу Хмельницької міської територіальної громади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25</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sz w:val="32"/>
              </w:rPr>
            </w:pPr>
            <w:r>
              <w:rPr>
                <w:rFonts w:ascii="Times New Roman" w:hAnsi="Times New Roman"/>
                <w:b/>
                <w:sz w:val="28"/>
              </w:rPr>
              <w:t xml:space="preserve">РОЗДІЛ 2. Діяльність виконавчої служби територіальної громади щодо управління туристичним  комплексом </w:t>
            </w:r>
            <w:r>
              <w:rPr>
                <w:rFonts w:ascii="Times New Roman" w:hAnsi="Times New Roman"/>
                <w:sz w:val="28"/>
              </w:rPr>
              <w:t>………………</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39</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2.1. Аналіз Положення про управління культури і туризму Хмельницької міської ради: провідні напрями роботи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39</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 xml:space="preserve">2.2. Управлінська діяльність, характер посадових обов’язків працівників управління культури і туризму Хмельницької міської ради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45</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2.3. Порівняльний аналіз управління туристичними комплексами органами виконавчих служб міських територіальних громад Хмельницької області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48</w:t>
            </w:r>
          </w:p>
        </w:tc>
      </w:tr>
      <w:tr w:rsidR="007155E9">
        <w:trPr>
          <w:trHeight w:val="480"/>
        </w:trPr>
        <w:tc>
          <w:tcPr>
            <w:tcW w:w="8640" w:type="dxa"/>
            <w:gridSpan w:val="2"/>
          </w:tcPr>
          <w:p w:rsidR="007155E9" w:rsidRDefault="002874A3">
            <w:pPr>
              <w:tabs>
                <w:tab w:val="right" w:leader="dot" w:pos="9345"/>
              </w:tabs>
              <w:spacing w:after="0" w:line="360" w:lineRule="auto"/>
              <w:ind w:right="-108" w:firstLine="432"/>
              <w:jc w:val="both"/>
              <w:rPr>
                <w:rFonts w:ascii="Times New Roman" w:hAnsi="Times New Roman"/>
                <w:b/>
                <w:sz w:val="32"/>
              </w:rPr>
            </w:pPr>
            <w:r>
              <w:rPr>
                <w:rFonts w:ascii="Times New Roman" w:hAnsi="Times New Roman"/>
                <w:sz w:val="28"/>
              </w:rPr>
              <w:t>2.4. Методичні поради щодо діяльності виконавчої служби територіальної громади в управлінні туристичним комплексом ………</w:t>
            </w:r>
          </w:p>
        </w:tc>
        <w:tc>
          <w:tcPr>
            <w:tcW w:w="1080" w:type="dxa"/>
          </w:tcPr>
          <w:p w:rsidR="007155E9" w:rsidRDefault="007155E9">
            <w:pPr>
              <w:tabs>
                <w:tab w:val="right" w:leader="dot" w:pos="9345"/>
              </w:tabs>
              <w:spacing w:after="0" w:line="360" w:lineRule="auto"/>
              <w:jc w:val="center"/>
              <w:rPr>
                <w:rFonts w:ascii="Times New Roman" w:hAnsi="Times New Roman"/>
                <w:sz w:val="28"/>
              </w:rPr>
            </w:pPr>
          </w:p>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57</w:t>
            </w:r>
          </w:p>
        </w:tc>
      </w:tr>
      <w:tr w:rsidR="007155E9">
        <w:trPr>
          <w:trHeight w:val="480"/>
        </w:trPr>
        <w:tc>
          <w:tcPr>
            <w:tcW w:w="540" w:type="dxa"/>
          </w:tcPr>
          <w:p w:rsidR="007155E9" w:rsidRDefault="007155E9">
            <w:pPr>
              <w:tabs>
                <w:tab w:val="right" w:leader="dot" w:pos="9345"/>
              </w:tabs>
              <w:spacing w:after="0" w:line="360" w:lineRule="auto"/>
              <w:jc w:val="center"/>
              <w:rPr>
                <w:rFonts w:ascii="Times New Roman" w:hAnsi="Times New Roman"/>
                <w:b/>
                <w:sz w:val="32"/>
              </w:rPr>
            </w:pPr>
          </w:p>
        </w:tc>
        <w:tc>
          <w:tcPr>
            <w:tcW w:w="8100" w:type="dxa"/>
          </w:tcPr>
          <w:p w:rsidR="007155E9" w:rsidRPr="00146490" w:rsidRDefault="002874A3">
            <w:pPr>
              <w:tabs>
                <w:tab w:val="right" w:leader="dot" w:pos="9345"/>
              </w:tabs>
              <w:spacing w:after="0" w:line="360" w:lineRule="auto"/>
              <w:ind w:right="-108"/>
              <w:jc w:val="both"/>
              <w:rPr>
                <w:rFonts w:ascii="Times New Roman" w:hAnsi="Times New Roman"/>
                <w:sz w:val="32"/>
                <w:lang w:val="uk-UA"/>
              </w:rPr>
            </w:pPr>
            <w:r>
              <w:rPr>
                <w:rFonts w:ascii="Times New Roman" w:hAnsi="Times New Roman"/>
                <w:b/>
                <w:sz w:val="28"/>
              </w:rPr>
              <w:t xml:space="preserve">ВИСНОВКИ </w:t>
            </w:r>
            <w:r w:rsidR="00146490">
              <w:rPr>
                <w:rFonts w:ascii="Times New Roman" w:hAnsi="Times New Roman"/>
                <w:sz w:val="28"/>
              </w:rPr>
              <w:t>…………………………………………………………</w:t>
            </w:r>
          </w:p>
        </w:tc>
        <w:tc>
          <w:tcPr>
            <w:tcW w:w="1080" w:type="dxa"/>
          </w:tcPr>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60</w:t>
            </w:r>
          </w:p>
        </w:tc>
      </w:tr>
      <w:tr w:rsidR="007155E9">
        <w:trPr>
          <w:trHeight w:val="342"/>
        </w:trPr>
        <w:tc>
          <w:tcPr>
            <w:tcW w:w="540" w:type="dxa"/>
          </w:tcPr>
          <w:p w:rsidR="007155E9" w:rsidRDefault="007155E9">
            <w:pPr>
              <w:tabs>
                <w:tab w:val="right" w:leader="dot" w:pos="9345"/>
              </w:tabs>
              <w:spacing w:after="0" w:line="360" w:lineRule="auto"/>
              <w:rPr>
                <w:rFonts w:ascii="Times New Roman" w:hAnsi="Times New Roman"/>
                <w:b/>
                <w:sz w:val="32"/>
              </w:rPr>
            </w:pPr>
          </w:p>
        </w:tc>
        <w:tc>
          <w:tcPr>
            <w:tcW w:w="8100" w:type="dxa"/>
          </w:tcPr>
          <w:p w:rsidR="007155E9" w:rsidRDefault="002874A3">
            <w:pPr>
              <w:tabs>
                <w:tab w:val="right" w:leader="dot" w:pos="9345"/>
              </w:tabs>
              <w:spacing w:after="0" w:line="360" w:lineRule="auto"/>
              <w:ind w:right="-108"/>
              <w:jc w:val="both"/>
              <w:rPr>
                <w:rFonts w:ascii="Times New Roman" w:hAnsi="Times New Roman"/>
                <w:sz w:val="32"/>
              </w:rPr>
            </w:pPr>
            <w:r>
              <w:rPr>
                <w:rFonts w:ascii="Times New Roman" w:hAnsi="Times New Roman"/>
                <w:b/>
                <w:sz w:val="28"/>
              </w:rPr>
              <w:t xml:space="preserve">СПИСОК ВИКОРИСТАНИХ ДЖЕРЕЛ </w:t>
            </w:r>
            <w:r>
              <w:rPr>
                <w:rFonts w:ascii="Times New Roman" w:hAnsi="Times New Roman"/>
                <w:sz w:val="28"/>
              </w:rPr>
              <w:t>…………………………</w:t>
            </w:r>
          </w:p>
        </w:tc>
        <w:tc>
          <w:tcPr>
            <w:tcW w:w="1080" w:type="dxa"/>
          </w:tcPr>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61</w:t>
            </w:r>
          </w:p>
        </w:tc>
      </w:tr>
      <w:tr w:rsidR="007155E9">
        <w:trPr>
          <w:trHeight w:val="342"/>
        </w:trPr>
        <w:tc>
          <w:tcPr>
            <w:tcW w:w="540" w:type="dxa"/>
          </w:tcPr>
          <w:p w:rsidR="007155E9" w:rsidRDefault="007155E9">
            <w:pPr>
              <w:tabs>
                <w:tab w:val="right" w:leader="dot" w:pos="9345"/>
              </w:tabs>
              <w:spacing w:after="0" w:line="360" w:lineRule="auto"/>
              <w:rPr>
                <w:rFonts w:ascii="Times New Roman" w:hAnsi="Times New Roman"/>
                <w:b/>
                <w:sz w:val="32"/>
              </w:rPr>
            </w:pPr>
          </w:p>
        </w:tc>
        <w:tc>
          <w:tcPr>
            <w:tcW w:w="8100" w:type="dxa"/>
          </w:tcPr>
          <w:p w:rsidR="007155E9" w:rsidRDefault="002874A3">
            <w:pPr>
              <w:tabs>
                <w:tab w:val="right" w:leader="dot" w:pos="9345"/>
              </w:tabs>
              <w:spacing w:after="0" w:line="360" w:lineRule="auto"/>
              <w:ind w:right="-108"/>
              <w:jc w:val="both"/>
              <w:rPr>
                <w:rFonts w:ascii="Times New Roman" w:hAnsi="Times New Roman"/>
                <w:sz w:val="32"/>
              </w:rPr>
            </w:pPr>
            <w:r>
              <w:rPr>
                <w:rFonts w:ascii="Times New Roman" w:hAnsi="Times New Roman"/>
                <w:b/>
                <w:sz w:val="28"/>
              </w:rPr>
              <w:t xml:space="preserve">ДОДАТКИ </w:t>
            </w:r>
            <w:r>
              <w:rPr>
                <w:rFonts w:ascii="Times New Roman" w:hAnsi="Times New Roman"/>
                <w:sz w:val="28"/>
              </w:rPr>
              <w:t>……………………………………………………………</w:t>
            </w:r>
          </w:p>
        </w:tc>
        <w:tc>
          <w:tcPr>
            <w:tcW w:w="1080" w:type="dxa"/>
          </w:tcPr>
          <w:p w:rsidR="007155E9" w:rsidRDefault="002874A3">
            <w:pPr>
              <w:tabs>
                <w:tab w:val="right" w:leader="dot" w:pos="9345"/>
              </w:tabs>
              <w:spacing w:after="0" w:line="360" w:lineRule="auto"/>
              <w:jc w:val="center"/>
              <w:rPr>
                <w:rFonts w:ascii="Times New Roman" w:hAnsi="Times New Roman"/>
                <w:sz w:val="28"/>
              </w:rPr>
            </w:pPr>
            <w:r>
              <w:rPr>
                <w:rFonts w:ascii="Times New Roman" w:hAnsi="Times New Roman"/>
                <w:sz w:val="28"/>
              </w:rPr>
              <w:t>69</w:t>
            </w:r>
          </w:p>
        </w:tc>
      </w:tr>
    </w:tbl>
    <w:p w:rsidR="007155E9" w:rsidRDefault="007155E9">
      <w:pPr>
        <w:spacing w:after="0" w:line="240" w:lineRule="auto"/>
        <w:jc w:val="both"/>
        <w:rPr>
          <w:rFonts w:ascii="Times New Roman" w:hAnsi="Times New Roman"/>
          <w:sz w:val="28"/>
        </w:rPr>
      </w:pPr>
    </w:p>
    <w:p w:rsidR="007155E9" w:rsidRDefault="002874A3">
      <w:pPr>
        <w:pStyle w:val="af"/>
        <w:rPr>
          <w:rFonts w:ascii="Times New Roman" w:hAnsi="Times New Roman"/>
          <w:b/>
          <w:sz w:val="28"/>
        </w:rPr>
      </w:pPr>
      <w:r>
        <w:rPr>
          <w:b/>
          <w:sz w:val="28"/>
        </w:rPr>
        <w:lastRenderedPageBreak/>
        <w:t>Вступ</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b/>
          <w:sz w:val="28"/>
        </w:rPr>
        <w:t>Актуальність дослідження</w:t>
      </w:r>
      <w:r>
        <w:rPr>
          <w:rFonts w:ascii="Times New Roman" w:hAnsi="Times New Roman"/>
          <w:sz w:val="28"/>
        </w:rPr>
        <w:t xml:space="preserve">. Галузь туризму на сьогодні вважається однією із перспективних напрямів соціально-економічного, культурно-освітнього розвитку України, регіонів, населених пунктів. Туристичне господарство генерує близько 11 % валового продукту в світі, а туристична індустрія – 4,2 %. Туристична галузь є важливим чинником стабільного й динамічного збільшення надходжень </w:t>
      </w:r>
      <w:proofErr w:type="gramStart"/>
      <w:r>
        <w:rPr>
          <w:rFonts w:ascii="Times New Roman" w:hAnsi="Times New Roman"/>
          <w:sz w:val="28"/>
        </w:rPr>
        <w:t>до бюджету</w:t>
      </w:r>
      <w:proofErr w:type="gramEnd"/>
      <w:r>
        <w:rPr>
          <w:rFonts w:ascii="Times New Roman" w:hAnsi="Times New Roman"/>
          <w:sz w:val="28"/>
        </w:rPr>
        <w:t>, істотного позитивного впливу на стан справ у багатьох галузях економіки (транспорт, торгівля, зв’язок, будівництво, сільське господарство тощо). Туризм сприяє підвищенню зайнятості населення, розвитку ринкових відносин, міжнародному співробітництву, залученню громадян до пізнання багатої природної та історико-культурної спадщини краю, збереженню екологічної рівноваги.</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sz w:val="28"/>
        </w:rPr>
        <w:t>Туризм є важливою галуззю економіки і соціальної політики України і має значний історико-культурний та природо-ресурсний потенціал, проте є низка внутрішніх та зовнішніх чинників, які стримують його розвиток. Упродовж останніх років в Україні відбулися події, що безпосередньо вплинули на становище внутрішнього та міжнародного туризму. Політична криза та бойові дії негативно позначилися на іміджі України, її сприйнятті іноземцями, зокрема інвесторами. Як результат, обсяги в’їзного туризму до України зменшилися.</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sz w:val="28"/>
        </w:rPr>
        <w:t>На сьогодні в Україні відбувається процес реформування та утворення територіальних громад, що сприяє активізації залучення наявного місцевого потенціалу до розвитку туристичної діяльності.</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sz w:val="28"/>
        </w:rPr>
        <w:t>Розвиток туристичної галузі регулюється низкою нормативно-правових актів, зокрема Конституцією України [23], Законом України «Про туризм» [20], положеннями про розвиток туризму у територіальних громадах [39; 40; 41].</w:t>
      </w:r>
    </w:p>
    <w:p w:rsidR="007155E9" w:rsidRDefault="002874A3">
      <w:pPr>
        <w:shd w:val="clear" w:color="auto" w:fill="FFFFFF"/>
        <w:spacing w:after="0" w:line="360" w:lineRule="auto"/>
        <w:ind w:firstLine="720"/>
        <w:jc w:val="both"/>
        <w:rPr>
          <w:rFonts w:ascii="Times New Roman" w:hAnsi="Times New Roman"/>
          <w:sz w:val="28"/>
        </w:rPr>
      </w:pPr>
      <w:r>
        <w:rPr>
          <w:rFonts w:ascii="Times New Roman" w:hAnsi="Times New Roman"/>
          <w:sz w:val="28"/>
        </w:rPr>
        <w:t xml:space="preserve">У Конституції України зазначено про реалізацію прав громадян на відпочинок, свободу пересування, відновлення і зміцнення здоров’я, на безпечне </w:t>
      </w:r>
      <w:r>
        <w:rPr>
          <w:rFonts w:ascii="Times New Roman" w:hAnsi="Times New Roman"/>
          <w:sz w:val="28"/>
        </w:rPr>
        <w:lastRenderedPageBreak/>
        <w:t>для життя і здоров’я довкілля, задоволення духовних потреб, захист і повагу людської гідності [23].</w:t>
      </w:r>
    </w:p>
    <w:p w:rsidR="007155E9" w:rsidRDefault="002874A3">
      <w:pPr>
        <w:shd w:val="clear" w:color="auto" w:fill="FFFFFF"/>
        <w:spacing w:after="0" w:line="360" w:lineRule="auto"/>
        <w:ind w:firstLine="720"/>
        <w:jc w:val="both"/>
        <w:rPr>
          <w:rFonts w:ascii="Times New Roman" w:hAnsi="Times New Roman"/>
          <w:sz w:val="28"/>
        </w:rPr>
      </w:pPr>
      <w:r>
        <w:rPr>
          <w:rFonts w:ascii="Times New Roman" w:hAnsi="Times New Roman"/>
          <w:sz w:val="28"/>
        </w:rPr>
        <w:t>Закон України «Про туризм» визначає загальні правові та соціально-економічні засади реалізації державної політики України в галузі туризму. Він встановлює засади раціонального використання туристичних ресурсів та регулює відносини, пов’язані з організацією і здійсненням туризму на території України [20].</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sz w:val="28"/>
        </w:rPr>
        <w:t>На регіональному рівні, зокрема у Хмельницькій області, розвиток туристичної галузі стикається з низкою проблем. Як справедливо стверджує науковець Долинська О.О. «Відсутність нової актуальної програми розвитку туризму в Хмельницький області вказує на недостатню увагу до цього важливого компонента соціально-економічного розвитку регіону в рамках реалізації відповідної державної політики. Для цього, на нашу думку, варто координувати зусилля місцевих органів самоврядування з боку державних органів управління на районному і обласному щаблях влади, ширше залучати громадськість та підтримувати ініціативи місцевого населення з розбудови мережі агросадиб (сільського зеленого туризму) і спеціалізованих туристичних кластерів у містах Хмельницької області» [16].</w:t>
      </w:r>
    </w:p>
    <w:p w:rsidR="007155E9" w:rsidRDefault="002874A3">
      <w:pPr>
        <w:pStyle w:val="a0"/>
        <w:spacing w:after="0" w:line="360" w:lineRule="auto"/>
        <w:ind w:firstLine="720"/>
        <w:jc w:val="both"/>
        <w:rPr>
          <w:rFonts w:ascii="Times New Roman" w:hAnsi="Times New Roman"/>
          <w:sz w:val="28"/>
        </w:rPr>
      </w:pPr>
      <w:r>
        <w:rPr>
          <w:rFonts w:ascii="Times New Roman" w:hAnsi="Times New Roman"/>
          <w:sz w:val="28"/>
        </w:rPr>
        <w:t>Питання розвитку регіонального туристичного комплексу розглянуто в наукових працях С.Е. Баженової [1], О.О. Бейдика [2-5], Т.Г. Гільберг [8], О.О. Долинської [10-17</w:t>
      </w:r>
      <w:proofErr w:type="gramStart"/>
      <w:r>
        <w:rPr>
          <w:rFonts w:ascii="Times New Roman" w:hAnsi="Times New Roman"/>
          <w:sz w:val="28"/>
        </w:rPr>
        <w:t>],  І.Є.</w:t>
      </w:r>
      <w:proofErr w:type="gramEnd"/>
      <w:r>
        <w:rPr>
          <w:rFonts w:ascii="Times New Roman" w:hAnsi="Times New Roman"/>
          <w:sz w:val="28"/>
        </w:rPr>
        <w:t xml:space="preserve"> Журби [18], О.О. Любіцевої [24-26], В.І. Мацоли [29], Я.Б. Олійника [33], О.В. Чеченя [58], І.М. Шоробури [17; 59; 61-62] та ін.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Тему кваліфікаційної роботи «Управління туристичним комплексом територіальної громади (на прикладі Хмельницької міської громади)» затверджено наказом по Хмельницькій гуманітарно-педагогічній академії (наказ № 239 від 14 жовтня 2022 р.).</w:t>
      </w: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lastRenderedPageBreak/>
        <w:t>Мета дослідження</w:t>
      </w:r>
      <w:r>
        <w:rPr>
          <w:rFonts w:ascii="Times New Roman" w:hAnsi="Times New Roman"/>
          <w:sz w:val="28"/>
        </w:rPr>
        <w:t xml:space="preserve"> полягає у визначені, теоретичному обґрунтуванні діяльності виконавчої служби територіальної громади щодо управління туристичним комплексом.</w:t>
      </w:r>
    </w:p>
    <w:p w:rsidR="007155E9" w:rsidRDefault="002874A3">
      <w:pPr>
        <w:spacing w:after="0" w:line="360" w:lineRule="auto"/>
        <w:ind w:firstLine="720"/>
        <w:jc w:val="both"/>
        <w:rPr>
          <w:rFonts w:ascii="Times New Roman" w:hAnsi="Times New Roman"/>
          <w:sz w:val="28"/>
        </w:rPr>
      </w:pPr>
      <w:r>
        <w:rPr>
          <w:rFonts w:ascii="Times New Roman" w:hAnsi="Times New Roman"/>
          <w:b/>
          <w:sz w:val="28"/>
        </w:rPr>
        <w:t xml:space="preserve">Об’єкт дослідження – </w:t>
      </w:r>
      <w:r>
        <w:rPr>
          <w:rFonts w:ascii="Times New Roman" w:hAnsi="Times New Roman"/>
          <w:sz w:val="28"/>
        </w:rPr>
        <w:t>туристичний комплекс територіальної громади.</w:t>
      </w:r>
    </w:p>
    <w:p w:rsidR="007155E9" w:rsidRDefault="002874A3">
      <w:pPr>
        <w:spacing w:after="0" w:line="360" w:lineRule="auto"/>
        <w:ind w:firstLine="720"/>
        <w:jc w:val="both"/>
        <w:rPr>
          <w:rFonts w:ascii="Times New Roman" w:hAnsi="Times New Roman"/>
          <w:sz w:val="28"/>
        </w:rPr>
      </w:pPr>
      <w:r>
        <w:rPr>
          <w:rFonts w:ascii="Times New Roman" w:hAnsi="Times New Roman"/>
          <w:b/>
          <w:sz w:val="28"/>
        </w:rPr>
        <w:t xml:space="preserve">Предмет дослідження – </w:t>
      </w:r>
      <w:r>
        <w:rPr>
          <w:rFonts w:ascii="Times New Roman" w:hAnsi="Times New Roman"/>
          <w:sz w:val="28"/>
        </w:rPr>
        <w:t>діяльність виконавчої служби територіальної громади щодо управління туристичним комплексом.</w:t>
      </w: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Завдання дослідження:</w:t>
      </w:r>
    </w:p>
    <w:p w:rsidR="007155E9" w:rsidRDefault="002874A3">
      <w:pPr>
        <w:spacing w:after="0" w:line="360" w:lineRule="auto"/>
        <w:ind w:firstLine="720"/>
        <w:jc w:val="both"/>
        <w:rPr>
          <w:rFonts w:ascii="Times New Roman" w:hAnsi="Times New Roman"/>
          <w:b/>
          <w:sz w:val="28"/>
        </w:rPr>
      </w:pPr>
      <w:r>
        <w:rPr>
          <w:rFonts w:ascii="Times New Roman" w:hAnsi="Times New Roman"/>
          <w:sz w:val="28"/>
        </w:rPr>
        <w:t>Відповідно до мети визначено основні</w:t>
      </w:r>
      <w:r>
        <w:rPr>
          <w:rFonts w:ascii="Times New Roman" w:hAnsi="Times New Roman"/>
          <w:b/>
          <w:sz w:val="28"/>
        </w:rPr>
        <w:t xml:space="preserve"> завдання дослідження: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1. Здійснити теоретичний аналіз педагогічної, довідкової літератури, джерел з управління, наукових праць учених щодо дослідження проблем розвитку туристичного комплексу території.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2. З’ясувати сутність, структуру та зміст туристичного комплексу територіальної громади.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 Проаналізувати сучасний стан об’єктів туристичного комплексу Хмельницької міської територіальної громади.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4. З’ясувати напрями роботи, управлінську діяльність, характер посадових обов’язків працівників управління туризму і культури Хмельницької міської ради.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5. Розробити методичні поради щодо діяльності виконавчої служби територіальної громади в управлінні туристичним комплексом.</w:t>
      </w:r>
    </w:p>
    <w:p w:rsidR="007155E9" w:rsidRDefault="002874A3">
      <w:pPr>
        <w:spacing w:after="0" w:line="360" w:lineRule="auto"/>
        <w:ind w:firstLine="720"/>
        <w:jc w:val="both"/>
        <w:rPr>
          <w:rFonts w:ascii="Times New Roman" w:hAnsi="Times New Roman"/>
          <w:sz w:val="28"/>
        </w:rPr>
      </w:pPr>
      <w:r>
        <w:rPr>
          <w:rFonts w:ascii="Times New Roman" w:hAnsi="Times New Roman"/>
          <w:b/>
          <w:sz w:val="28"/>
        </w:rPr>
        <w:t xml:space="preserve">Методи дослідження. </w:t>
      </w:r>
      <w:r>
        <w:rPr>
          <w:rFonts w:ascii="Times New Roman" w:hAnsi="Times New Roman"/>
          <w:sz w:val="28"/>
        </w:rPr>
        <w:t xml:space="preserve">Для реалізації мети і поставлених у дослідженні завдань, використано комплекс методів, серед яких: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 xml:space="preserve">теоретичні − </w:t>
      </w:r>
      <w:r>
        <w:rPr>
          <w:rFonts w:ascii="Times New Roman" w:hAnsi="Times New Roman"/>
          <w:sz w:val="28"/>
        </w:rPr>
        <w:t xml:space="preserve">аналіз, порівняння – для теоретичного аналізу педагогічної, довідкової літератури, джерел з управління, наукових праць учених щодо дослідження проблем розвитку туристичного комплексу території;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lastRenderedPageBreak/>
        <w:t xml:space="preserve">емпіричні − </w:t>
      </w:r>
      <w:r>
        <w:rPr>
          <w:rFonts w:ascii="Times New Roman" w:hAnsi="Times New Roman"/>
          <w:sz w:val="28"/>
        </w:rPr>
        <w:t xml:space="preserve">спостереження, опитування – для аналізу і узагальнення результатів дослідження щодо управління туристичним комплексом територіальної громади;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методи </w:t>
      </w:r>
      <w:r>
        <w:rPr>
          <w:rFonts w:ascii="Times New Roman" w:hAnsi="Times New Roman"/>
          <w:i/>
          <w:sz w:val="28"/>
        </w:rPr>
        <w:t>математичної статистики,</w:t>
      </w:r>
      <w:r>
        <w:rPr>
          <w:rFonts w:ascii="Times New Roman" w:hAnsi="Times New Roman"/>
          <w:sz w:val="28"/>
        </w:rPr>
        <w:t xml:space="preserve"> </w:t>
      </w:r>
      <w:r>
        <w:rPr>
          <w:rFonts w:ascii="Times New Roman" w:hAnsi="Times New Roman"/>
          <w:i/>
          <w:sz w:val="28"/>
        </w:rPr>
        <w:t>графічного та картографічного зображення</w:t>
      </w:r>
      <w:r>
        <w:rPr>
          <w:rFonts w:ascii="Times New Roman" w:hAnsi="Times New Roman"/>
          <w:sz w:val="28"/>
        </w:rPr>
        <w:t xml:space="preserve"> – для обробки й інтерпретації результатів дослідження.</w:t>
      </w: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 xml:space="preserve">Практичне значення </w:t>
      </w:r>
      <w:r>
        <w:rPr>
          <w:rFonts w:ascii="Times New Roman" w:hAnsi="Times New Roman"/>
          <w:sz w:val="28"/>
        </w:rPr>
        <w:t>результатів дослідження полягає у визначені, теоретичному обґрунтуванні діяльності Хмельницької міської територіальної громади щодо управління туристичним комплексом та розробці методичних порад щодо діяльності виконавчої служби територіальної громади в управлінні туристичним комплексом.</w:t>
      </w: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Апробація результатів дослідження</w:t>
      </w:r>
      <w:r>
        <w:rPr>
          <w:rFonts w:ascii="Times New Roman" w:hAnsi="Times New Roman"/>
          <w:sz w:val="28"/>
        </w:rPr>
        <w:t xml:space="preserve">. Чайковський І. Туристичний комплекс </w:t>
      </w:r>
      <w:proofErr w:type="gramStart"/>
      <w:r>
        <w:rPr>
          <w:rFonts w:ascii="Times New Roman" w:hAnsi="Times New Roman"/>
          <w:sz w:val="28"/>
        </w:rPr>
        <w:t>територіальної  громади</w:t>
      </w:r>
      <w:proofErr w:type="gramEnd"/>
      <w:r>
        <w:rPr>
          <w:rFonts w:ascii="Times New Roman" w:hAnsi="Times New Roman"/>
          <w:sz w:val="28"/>
        </w:rPr>
        <w:t xml:space="preserve"> : управлінські аспекти: тези всеук. наук.-практ. конф.</w:t>
      </w:r>
      <w:r>
        <w:rPr>
          <w:rFonts w:ascii="Times New Roman" w:hAnsi="Times New Roman"/>
          <w:b/>
          <w:sz w:val="28"/>
        </w:rPr>
        <w:t xml:space="preserve"> «</w:t>
      </w:r>
      <w:r>
        <w:rPr>
          <w:rFonts w:ascii="Times New Roman" w:hAnsi="Times New Roman"/>
          <w:sz w:val="28"/>
        </w:rPr>
        <w:t>Система освіти в Україні: сучасний стан та перспективи розвитку» (м. Хмельницький, 14 листопада 2023 р.). Хмельницький: ХГПА, 2023.</w:t>
      </w:r>
    </w:p>
    <w:p w:rsidR="007155E9" w:rsidRDefault="002874A3">
      <w:pPr>
        <w:spacing w:after="0" w:line="360" w:lineRule="auto"/>
        <w:ind w:firstLine="709"/>
        <w:jc w:val="both"/>
        <w:rPr>
          <w:rFonts w:ascii="Times New Roman" w:hAnsi="Times New Roman"/>
          <w:sz w:val="28"/>
        </w:rPr>
      </w:pPr>
      <w:r>
        <w:rPr>
          <w:rFonts w:ascii="Times New Roman" w:hAnsi="Times New Roman"/>
          <w:b/>
          <w:sz w:val="28"/>
        </w:rPr>
        <w:t>Структура та обсяг кваліфікаційної роботи</w:t>
      </w:r>
      <w:r>
        <w:rPr>
          <w:rFonts w:ascii="Times New Roman" w:hAnsi="Times New Roman"/>
          <w:sz w:val="28"/>
        </w:rPr>
        <w:t>: Кваліфікаційна робота складається зі вступу, двох розділів, висновку, списку використаних джерел (64 найменувань), двох додатків. Основний зміст роботи викладено на 60 сторінках комп’ютерного тексту. Загальний обсяг кваліфікаційної роботи становить 79 сторінок.</w:t>
      </w:r>
    </w:p>
    <w:p w:rsidR="007155E9" w:rsidRDefault="007155E9">
      <w:pPr>
        <w:spacing w:after="0" w:line="360" w:lineRule="auto"/>
        <w:ind w:firstLine="720"/>
        <w:jc w:val="both"/>
        <w:rPr>
          <w:rFonts w:ascii="Times New Roman" w:hAnsi="Times New Roman"/>
          <w:color w:val="FF0000"/>
          <w:sz w:val="28"/>
        </w:rPr>
      </w:pPr>
    </w:p>
    <w:p w:rsidR="007155E9" w:rsidRDefault="007155E9">
      <w:pPr>
        <w:spacing w:after="0" w:line="360" w:lineRule="auto"/>
        <w:ind w:firstLine="720"/>
        <w:jc w:val="both"/>
        <w:rPr>
          <w:rFonts w:ascii="Times New Roman" w:hAnsi="Times New Roman"/>
          <w:color w:val="FF0000"/>
          <w:sz w:val="28"/>
        </w:rPr>
      </w:pPr>
    </w:p>
    <w:p w:rsidR="007155E9" w:rsidRDefault="007155E9">
      <w:pPr>
        <w:spacing w:after="0" w:line="360" w:lineRule="auto"/>
        <w:jc w:val="both"/>
        <w:rPr>
          <w:rFonts w:ascii="Times New Roman" w:hAnsi="Times New Roman"/>
          <w:sz w:val="28"/>
        </w:rPr>
      </w:pPr>
    </w:p>
    <w:p w:rsidR="007155E9" w:rsidRDefault="007155E9">
      <w:pPr>
        <w:pStyle w:val="1"/>
        <w:numPr>
          <w:ilvl w:val="0"/>
          <w:numId w:val="0"/>
        </w:numPr>
        <w:spacing w:before="0" w:after="0" w:line="360" w:lineRule="auto"/>
        <w:jc w:val="center"/>
        <w:rPr>
          <w:rFonts w:ascii="Times New Roman" w:hAnsi="Times New Roman"/>
          <w:sz w:val="28"/>
        </w:rPr>
      </w:pPr>
    </w:p>
    <w:p w:rsidR="007155E9" w:rsidRDefault="002874A3">
      <w:pPr>
        <w:pStyle w:val="1"/>
        <w:numPr>
          <w:ilvl w:val="0"/>
          <w:numId w:val="0"/>
        </w:numPr>
        <w:spacing w:before="0" w:after="0" w:line="360" w:lineRule="auto"/>
        <w:jc w:val="center"/>
        <w:rPr>
          <w:rFonts w:ascii="Times New Roman" w:hAnsi="Times New Roman"/>
          <w:sz w:val="28"/>
        </w:rPr>
      </w:pPr>
      <w:r>
        <w:rPr>
          <w:rFonts w:ascii="Times New Roman" w:hAnsi="Times New Roman"/>
          <w:sz w:val="28"/>
        </w:rPr>
        <w:t>РОЗДІЛ 1</w:t>
      </w:r>
    </w:p>
    <w:p w:rsidR="007155E9" w:rsidRDefault="002874A3">
      <w:pPr>
        <w:pStyle w:val="1"/>
        <w:numPr>
          <w:ilvl w:val="0"/>
          <w:numId w:val="0"/>
        </w:numPr>
        <w:spacing w:before="0" w:after="0" w:line="360" w:lineRule="auto"/>
        <w:jc w:val="center"/>
        <w:rPr>
          <w:rFonts w:ascii="Times New Roman" w:hAnsi="Times New Roman"/>
          <w:sz w:val="28"/>
        </w:rPr>
      </w:pPr>
      <w:r>
        <w:rPr>
          <w:rFonts w:ascii="Times New Roman" w:hAnsi="Times New Roman"/>
          <w:sz w:val="28"/>
        </w:rPr>
        <w:t>ТЕОРЕТИЧНИЙ АНАЛІЗ ТУРИСТИЧНОГО КОМПЛЕКСУ ТЕРИТОРІАЛЬНОЇ ГРОМАДИ</w:t>
      </w:r>
    </w:p>
    <w:p w:rsidR="007155E9" w:rsidRDefault="007155E9">
      <w:pPr>
        <w:pStyle w:val="a0"/>
      </w:pPr>
    </w:p>
    <w:p w:rsidR="007155E9" w:rsidRDefault="002874A3">
      <w:pPr>
        <w:pStyle w:val="af"/>
        <w:spacing w:before="0" w:after="0" w:line="360" w:lineRule="auto"/>
        <w:ind w:firstLine="720"/>
        <w:jc w:val="both"/>
        <w:rPr>
          <w:rFonts w:ascii="Times New Roman" w:hAnsi="Times New Roman"/>
          <w:sz w:val="28"/>
        </w:rPr>
      </w:pPr>
      <w:r>
        <w:rPr>
          <w:rFonts w:ascii="Times New Roman" w:hAnsi="Times New Roman"/>
          <w:sz w:val="28"/>
        </w:rPr>
        <w:lastRenderedPageBreak/>
        <w:t xml:space="preserve">     </w:t>
      </w:r>
      <w:r>
        <w:rPr>
          <w:rFonts w:ascii="Times New Roman" w:hAnsi="Times New Roman"/>
          <w:b/>
          <w:sz w:val="28"/>
        </w:rPr>
        <w:t xml:space="preserve">1.1 Теоретичний аналіз педагогічної, довідкової літератури, джерел з управління, наукових праць учених щодо дослідження проблем розвитку туристичного комплексу території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Туристичний комплекс Хмельницької територіальної громади за останні роки набув широкого розголосу серед об’єктів з високим туристичним потенціалом. У працях багатьох учених та дослідників вказано його перспективи </w:t>
      </w:r>
      <w:proofErr w:type="gramStart"/>
      <w:r>
        <w:rPr>
          <w:rFonts w:ascii="Times New Roman" w:hAnsi="Times New Roman"/>
          <w:sz w:val="28"/>
        </w:rPr>
        <w:t>розвитку ,</w:t>
      </w:r>
      <w:proofErr w:type="gramEnd"/>
      <w:r>
        <w:rPr>
          <w:rFonts w:ascii="Times New Roman" w:hAnsi="Times New Roman"/>
          <w:sz w:val="28"/>
        </w:rPr>
        <w:t xml:space="preserve"> проблематику та сучасний стан.</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Туристичний об’єкт формувався доволі тривалий період за який була сформована велика мережа підприємств та установ спрямованих на управління та врегулювання взаємозв`язків між продуктом та його реалізацією. За період 2018-2020 рр. він створив абсолютно нову цілісну систему відкривши багато місць туристичного призначення та утворивши нові програми для їх представлення. Дослідження комплексу відбувається безпосередньо за такими аспектами: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1</w:t>
      </w:r>
      <w:r>
        <w:rPr>
          <w:rFonts w:ascii="Times New Roman" w:hAnsi="Times New Roman"/>
          <w:b/>
          <w:sz w:val="28"/>
        </w:rPr>
        <w:t xml:space="preserve">. </w:t>
      </w:r>
      <w:r>
        <w:rPr>
          <w:rFonts w:ascii="Times New Roman" w:hAnsi="Times New Roman"/>
          <w:i/>
          <w:sz w:val="28"/>
        </w:rPr>
        <w:t>Фінансовий управління:</w:t>
      </w:r>
      <w:r>
        <w:rPr>
          <w:rFonts w:ascii="Times New Roman" w:hAnsi="Times New Roman"/>
          <w:b/>
          <w:sz w:val="28"/>
        </w:rPr>
        <w:t xml:space="preserve"> </w:t>
      </w:r>
      <w:r>
        <w:rPr>
          <w:rFonts w:ascii="Times New Roman" w:hAnsi="Times New Roman"/>
          <w:sz w:val="28"/>
        </w:rPr>
        <w:t>Вивчення фінансового аспекту туристичного бізнесу, включаючи бюджетування, фінансовий аналіз та прибутковість.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2.</w:t>
      </w:r>
      <w:r>
        <w:rPr>
          <w:rFonts w:ascii="Times New Roman" w:hAnsi="Times New Roman"/>
          <w:b/>
          <w:sz w:val="28"/>
        </w:rPr>
        <w:t xml:space="preserve"> </w:t>
      </w:r>
      <w:r>
        <w:rPr>
          <w:rFonts w:ascii="Times New Roman" w:hAnsi="Times New Roman"/>
          <w:i/>
          <w:sz w:val="28"/>
        </w:rPr>
        <w:t>Соціокультурні аспекти:</w:t>
      </w:r>
      <w:r>
        <w:rPr>
          <w:rFonts w:ascii="Times New Roman" w:hAnsi="Times New Roman"/>
          <w:sz w:val="28"/>
        </w:rPr>
        <w:t xml:space="preserve"> Аналіз впливу туризму на соціокультурну сферу регіону та вивчення взаємодії між туристами та місцевим населенням.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3.</w:t>
      </w:r>
      <w:r>
        <w:rPr>
          <w:rFonts w:ascii="Times New Roman" w:hAnsi="Times New Roman"/>
          <w:b/>
          <w:sz w:val="28"/>
        </w:rPr>
        <w:t xml:space="preserve"> </w:t>
      </w:r>
      <w:r>
        <w:rPr>
          <w:rFonts w:ascii="Times New Roman" w:hAnsi="Times New Roman"/>
          <w:i/>
          <w:sz w:val="28"/>
        </w:rPr>
        <w:t>Сталість і збереження навколишнього середовища:</w:t>
      </w:r>
      <w:r>
        <w:rPr>
          <w:rFonts w:ascii="Times New Roman" w:hAnsi="Times New Roman"/>
          <w:b/>
          <w:sz w:val="28"/>
        </w:rPr>
        <w:t xml:space="preserve"> </w:t>
      </w:r>
      <w:r>
        <w:rPr>
          <w:rFonts w:ascii="Times New Roman" w:hAnsi="Times New Roman"/>
          <w:sz w:val="28"/>
        </w:rPr>
        <w:t>Дослідження екологічних аспектів туризму та способів забезпечення сталості природних ресурсів.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4.</w:t>
      </w:r>
      <w:r>
        <w:rPr>
          <w:rFonts w:ascii="Times New Roman" w:hAnsi="Times New Roman"/>
          <w:b/>
          <w:sz w:val="28"/>
        </w:rPr>
        <w:t xml:space="preserve"> </w:t>
      </w:r>
      <w:r>
        <w:rPr>
          <w:rFonts w:ascii="Times New Roman" w:hAnsi="Times New Roman"/>
          <w:i/>
          <w:sz w:val="28"/>
        </w:rPr>
        <w:t>Правові та регуляторні питання:</w:t>
      </w:r>
      <w:r>
        <w:rPr>
          <w:rFonts w:ascii="Times New Roman" w:hAnsi="Times New Roman"/>
          <w:sz w:val="28"/>
        </w:rPr>
        <w:t xml:space="preserve"> Вивчення правового середовища туризму, включаючи ліцензування, регуляцію та права споживачів.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5.</w:t>
      </w:r>
      <w:r>
        <w:rPr>
          <w:rFonts w:ascii="Times New Roman" w:hAnsi="Times New Roman"/>
          <w:b/>
          <w:sz w:val="28"/>
        </w:rPr>
        <w:t xml:space="preserve"> </w:t>
      </w:r>
      <w:r>
        <w:rPr>
          <w:rFonts w:ascii="Times New Roman" w:hAnsi="Times New Roman"/>
          <w:i/>
          <w:sz w:val="28"/>
        </w:rPr>
        <w:t>Аналіз попиту і пропозиції:</w:t>
      </w:r>
      <w:r>
        <w:rPr>
          <w:rFonts w:ascii="Times New Roman" w:hAnsi="Times New Roman"/>
          <w:sz w:val="28"/>
        </w:rPr>
        <w:t xml:space="preserve"> Вивчення та аналіз попиту та пропозиції в туристичному секторі для визначення тенденцій та можливостей розвитку.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6.</w:t>
      </w:r>
      <w:r>
        <w:rPr>
          <w:rFonts w:ascii="Times New Roman" w:hAnsi="Times New Roman"/>
          <w:b/>
          <w:sz w:val="28"/>
        </w:rPr>
        <w:t xml:space="preserve"> </w:t>
      </w:r>
      <w:r>
        <w:rPr>
          <w:rFonts w:ascii="Times New Roman" w:hAnsi="Times New Roman"/>
          <w:i/>
          <w:sz w:val="28"/>
        </w:rPr>
        <w:t>Стратегічне управління:</w:t>
      </w:r>
      <w:r>
        <w:rPr>
          <w:rFonts w:ascii="Times New Roman" w:hAnsi="Times New Roman"/>
          <w:sz w:val="28"/>
        </w:rPr>
        <w:t xml:space="preserve"> Дослідження розробки стратегій управління туристичним комплексом для досягнення цілей та покращення конкурентоспроможності.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7.</w:t>
      </w:r>
      <w:r>
        <w:rPr>
          <w:rFonts w:ascii="Times New Roman" w:hAnsi="Times New Roman"/>
          <w:b/>
          <w:sz w:val="28"/>
        </w:rPr>
        <w:t xml:space="preserve"> </w:t>
      </w:r>
      <w:r>
        <w:rPr>
          <w:rFonts w:ascii="Times New Roman" w:hAnsi="Times New Roman"/>
          <w:i/>
          <w:sz w:val="28"/>
        </w:rPr>
        <w:t>Маркетинг і просування:</w:t>
      </w:r>
      <w:r>
        <w:rPr>
          <w:rFonts w:ascii="Times New Roman" w:hAnsi="Times New Roman"/>
          <w:sz w:val="28"/>
        </w:rPr>
        <w:t xml:space="preserve"> Дослідження маркетингових стратегій та просування туристичних послуг та продуктів.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8.</w:t>
      </w:r>
      <w:r>
        <w:rPr>
          <w:rFonts w:ascii="Times New Roman" w:hAnsi="Times New Roman"/>
          <w:b/>
          <w:sz w:val="28"/>
        </w:rPr>
        <w:t xml:space="preserve"> </w:t>
      </w:r>
      <w:r>
        <w:rPr>
          <w:rFonts w:ascii="Times New Roman" w:hAnsi="Times New Roman"/>
          <w:i/>
          <w:sz w:val="28"/>
        </w:rPr>
        <w:t>Управління якістю:</w:t>
      </w:r>
      <w:r>
        <w:rPr>
          <w:rFonts w:ascii="Times New Roman" w:hAnsi="Times New Roman"/>
          <w:b/>
          <w:sz w:val="28"/>
        </w:rPr>
        <w:t xml:space="preserve"> </w:t>
      </w:r>
      <w:r>
        <w:rPr>
          <w:rFonts w:ascii="Times New Roman" w:hAnsi="Times New Roman"/>
          <w:sz w:val="28"/>
        </w:rPr>
        <w:t>Аналіз якості обслуговування, стандартів та сертифікації, для забезпечення задоволення клієнтів.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Дослідження в галузі управління туристичним комплексом допомагають впроваджувати ефективні стратегії та поліпшувати якість обслуговування, що сприяє розвитку туризму та економічному зростанню в туристичних регіонах [6; 7; 9; 19].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Серед дослідження проблем розвитку туристичного комплексу вчені виділяють, що заважає розвитку саме територіального комплексу. Це політична та економічна нестабільність на сучасному етапі в країні. Економічна </w:t>
      </w:r>
      <w:proofErr w:type="gramStart"/>
      <w:r>
        <w:rPr>
          <w:rFonts w:ascii="Times New Roman" w:hAnsi="Times New Roman"/>
          <w:sz w:val="28"/>
        </w:rPr>
        <w:t>ситуація  не</w:t>
      </w:r>
      <w:proofErr w:type="gramEnd"/>
      <w:r>
        <w:rPr>
          <w:rFonts w:ascii="Times New Roman" w:hAnsi="Times New Roman"/>
          <w:sz w:val="28"/>
        </w:rPr>
        <w:t xml:space="preserve"> дозволяє проводити достатнє фінансування багатьох туристичних об’єктів,  через це туристичний продукт на світовому ринку не може відповідати міжнародним стандартам [28; 30; 33;  36].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Транспортні шляхи за період великого будівництва набули значного розвитку проте лише у сполученні між великими містами, якщо туристичний об’єкт знаходиться десь в селищі чи в іншому місці, то шлях на транспортному засобі до нього буде значно складніше [22].</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Серед інших проблем науковці виділяють недостатню розвиненість системи водопостачання поганий стан вулиць, не слідкуванням за збору сміття недостатньо засобів </w:t>
      </w:r>
      <w:proofErr w:type="gramStart"/>
      <w:r>
        <w:rPr>
          <w:rFonts w:ascii="Times New Roman" w:hAnsi="Times New Roman"/>
          <w:sz w:val="28"/>
        </w:rPr>
        <w:t>комунікації</w:t>
      </w:r>
      <w:proofErr w:type="gramEnd"/>
      <w:r>
        <w:rPr>
          <w:rFonts w:ascii="Times New Roman" w:hAnsi="Times New Roman"/>
          <w:sz w:val="28"/>
        </w:rPr>
        <w:t xml:space="preserve"> а також слабкий розвиток туристичної і сервісної інфраструктури. Основною з проблем залишається залучення іноземних туристів до відвідування наших об’єктів. Туристична діяльність в Україні вона особлива через те що орієнтовано більше на людей що знаходиться в середині країни </w:t>
      </w:r>
      <w:r>
        <w:rPr>
          <w:rFonts w:ascii="Times New Roman" w:hAnsi="Times New Roman"/>
          <w:sz w:val="28"/>
        </w:rPr>
        <w:lastRenderedPageBreak/>
        <w:t xml:space="preserve">іноземні туристи мають недостатньої інформації для того щоб могли долучатися </w:t>
      </w:r>
      <w:proofErr w:type="gramStart"/>
      <w:r>
        <w:rPr>
          <w:rFonts w:ascii="Times New Roman" w:hAnsi="Times New Roman"/>
          <w:sz w:val="28"/>
        </w:rPr>
        <w:t>до вкладу</w:t>
      </w:r>
      <w:proofErr w:type="gramEnd"/>
      <w:r>
        <w:rPr>
          <w:rFonts w:ascii="Times New Roman" w:hAnsi="Times New Roman"/>
          <w:sz w:val="28"/>
        </w:rPr>
        <w:t xml:space="preserve"> в розвиток туристичної сфери нашої країни [42; 45; 49].</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В Хмельницькій області діяли програми розвитку з </w:t>
      </w:r>
      <w:proofErr w:type="gramStart"/>
      <w:r>
        <w:rPr>
          <w:rFonts w:ascii="Times New Roman" w:hAnsi="Times New Roman"/>
          <w:sz w:val="28"/>
        </w:rPr>
        <w:t>туризму  в</w:t>
      </w:r>
      <w:proofErr w:type="gramEnd"/>
      <w:r>
        <w:rPr>
          <w:rFonts w:ascii="Times New Roman" w:hAnsi="Times New Roman"/>
          <w:sz w:val="28"/>
        </w:rPr>
        <w:t xml:space="preserve"> 2000-2003 рр., 2003-2010 рр., 2010-2015 рр. і 2021-2023 рр. Проаналізувавши програми з 2000 року до 2021 року можна виділити що їх основними завданнями </w:t>
      </w:r>
      <w:proofErr w:type="gramStart"/>
      <w:r>
        <w:rPr>
          <w:rFonts w:ascii="Times New Roman" w:hAnsi="Times New Roman"/>
          <w:sz w:val="28"/>
        </w:rPr>
        <w:t>було  підвищення</w:t>
      </w:r>
      <w:proofErr w:type="gramEnd"/>
      <w:r>
        <w:rPr>
          <w:rFonts w:ascii="Times New Roman" w:hAnsi="Times New Roman"/>
          <w:sz w:val="28"/>
        </w:rPr>
        <w:t xml:space="preserve"> іміджу області, створення додаткових робочих місць, а головні напрями реалізації були саме такі як: удосконалення системи управління, зміцнення матеріальної бази, підвищення якості розширення асортименту орієнтованість на міжнародну співпрацю. На цьому етапі у програмі зазначається, що саме основними напрямами розвитку області є вдосконалення транспортної інфраструктури, розвинення туристичних локацій, організація різноманітних туристичних послуг, реставрація і ревіталізація пам’яток історії та культури, а також екологічна безпека туризму.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 огляду на це можна відзначити як відбувався саме прогрес усвідомлення того що потрібно саме нашому туристичному комплексу, але є момент саме з реалізації усіх цих пунктів через те, що люди недостатньо усвідомлюють рівень ролі та значення туризму для соціально-економічного розвитку.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Для того щоб вирішити деякі проблеми туристичного комплексу було запропоновано підвищити рівень інформаційної інфраструктури в туристичному бізнесі що дозволяє проводити інформування про туристичні об’єктів такі як: національна архітектурний заповідник «Кам’янець», державний курорт «Сатанів», заповідник «Меджибіж» та «Самчики», також курорт «Маків», музеї Хмельниччини. Удосконалити популяризацію нових туристичних маршрутів відновлення інформаційних та сервісних умов, створення контролю над регіонально-інформаційної </w:t>
      </w:r>
      <w:proofErr w:type="gramStart"/>
      <w:r>
        <w:rPr>
          <w:rFonts w:ascii="Times New Roman" w:hAnsi="Times New Roman"/>
          <w:sz w:val="28"/>
        </w:rPr>
        <w:t>інфраструктурою,  оновити</w:t>
      </w:r>
      <w:proofErr w:type="gramEnd"/>
      <w:r>
        <w:rPr>
          <w:rFonts w:ascii="Times New Roman" w:hAnsi="Times New Roman"/>
          <w:sz w:val="28"/>
        </w:rPr>
        <w:t xml:space="preserve"> діючий сайт Хмельниччини та розробка і проведення регулярних рекламних кампаній [37; 44; 46-48; 51; 55].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Для досягнення ефективного результату знадобиться потужна співпраця з багатьма туроператорами </w:t>
      </w:r>
      <w:proofErr w:type="gramStart"/>
      <w:r>
        <w:rPr>
          <w:rFonts w:ascii="Times New Roman" w:hAnsi="Times New Roman"/>
          <w:sz w:val="28"/>
        </w:rPr>
        <w:t>та  погодженням</w:t>
      </w:r>
      <w:proofErr w:type="gramEnd"/>
      <w:r>
        <w:rPr>
          <w:rFonts w:ascii="Times New Roman" w:hAnsi="Times New Roman"/>
          <w:sz w:val="28"/>
        </w:rPr>
        <w:t xml:space="preserve"> в  керівник структурах  Та залучення людей до інвестиційного фонду, адже без нього неможливий подальший розвиток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Для кращого аналізу перспектив було також виділено порівняльні переваги, виклики та ризики Хмельницької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 результаті створення SWOT-матриці для аналізу взаємозв’язків між сильними сторонами і можливостями, деякі сильні сторони виявилися особливо сприятливо розміщеними для реалізації можливостей:</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Збільшення виробництва сільськогосподарської продукції:</w:t>
      </w:r>
      <w:r>
        <w:rPr>
          <w:rFonts w:ascii="Times New Roman" w:hAnsi="Times New Roman"/>
          <w:sz w:val="28"/>
        </w:rPr>
        <w:t xml:space="preserve"> Можливість збільшити обсяг виробництва сільськогосподарської продукції стає найбільш підтримуваною завдяки зростанню попиту на продовольство як світовий тренд, зокрема на екологічно чисту продукцію. Особливою перевагою регіону є велика кількість сільськогосподарських земель, більшість з яких мають чорнозем, що сприяє самозабезпеченню продовольством і задоволенню потреб інших регіонів</w:t>
      </w:r>
      <w:proofErr w:type="gramStart"/>
      <w:r>
        <w:rPr>
          <w:rFonts w:ascii="Times New Roman" w:hAnsi="Times New Roman"/>
          <w:sz w:val="28"/>
        </w:rPr>
        <w:t xml:space="preserve">   [</w:t>
      </w:r>
      <w:proofErr w:type="gramEnd"/>
      <w:r>
        <w:rPr>
          <w:rFonts w:ascii="Times New Roman" w:hAnsi="Times New Roman"/>
          <w:sz w:val="28"/>
        </w:rPr>
        <w:t>35].</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Туризм та рекреація:</w:t>
      </w:r>
      <w:r>
        <w:rPr>
          <w:rFonts w:ascii="Times New Roman" w:hAnsi="Times New Roman"/>
          <w:sz w:val="28"/>
        </w:rPr>
        <w:t xml:space="preserve"> Хмельниччина має значний потенціал для розвитку туризму та рекреації. Зростання попиту на внутрішній туризм, зокрема зелений, сільський та медичний, підвищить популярність культурної спадщини, природних заповідників, великих природоохоронних територій та місцевих традицій і звичаїв [25].</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Покращення інвестиційної привабливості:</w:t>
      </w:r>
      <w:r>
        <w:rPr>
          <w:rFonts w:ascii="Times New Roman" w:hAnsi="Times New Roman"/>
          <w:sz w:val="28"/>
        </w:rPr>
        <w:t xml:space="preserve"> Прогнозоване покращення інвестиційної привабливості та бізнес-середовища в Україні, а також міжнародна підтримка проєктів розвитку можуть стати порівняльними перевагами Хмельниччини. Регіон має кілька сильних сторін, таких як вигідне розташування на перетині транспортних маршрутів, індустріальні парки, вільні земельні ділянки та старопромислові зони для реалізації інвестиційних проєктів та </w:t>
      </w:r>
      <w:r>
        <w:rPr>
          <w:rFonts w:ascii="Times New Roman" w:hAnsi="Times New Roman"/>
          <w:sz w:val="28"/>
        </w:rPr>
        <w:lastRenderedPageBreak/>
        <w:t>використання місцевої сировини для переробної промисловості та відновлюваної енергетики [31; 32].</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Переорієнтація європейського виробництва:</w:t>
      </w:r>
      <w:r>
        <w:rPr>
          <w:rFonts w:ascii="Times New Roman" w:hAnsi="Times New Roman"/>
          <w:sz w:val="28"/>
        </w:rPr>
        <w:t xml:space="preserve"> Переорієнтація виробництва в Європі на ближніх сусідів, зокрема на Хмельниччину (ближній аутсорсинг), завдяки доступної робочої силі та логістиці, може підтримувати наявність резерву робочої сили, розвинену швейну галузь та конкурентоздатні експортоорієнтовані підприємства в різних галузях промисловості.</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Транспортні коридори:</w:t>
      </w:r>
      <w:r>
        <w:rPr>
          <w:rFonts w:ascii="Times New Roman" w:hAnsi="Times New Roman"/>
          <w:sz w:val="28"/>
        </w:rPr>
        <w:t xml:space="preserve"> Можливість будівництва транспортних коридорів (Балтійське – Чорне море, Східна Європа – Азія) через Хмельницьку область підвищить транспортно-логістичний потенціал регіону, що сприятиме можливості позиціонування області як логістичного хабу Західного регіону України [34].</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Альтернативні види палива:</w:t>
      </w:r>
      <w:r>
        <w:rPr>
          <w:rFonts w:ascii="Times New Roman" w:hAnsi="Times New Roman"/>
          <w:sz w:val="28"/>
        </w:rPr>
        <w:t xml:space="preserve"> Хмельниччина може сприяти виробництву альтернативних видів палива з відходів лісового господарства, вирощуванню високоенергетичних культур та використанню побічної продукції сільськогосподарського виробництва, таких як солома та рослинні залишки.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Аналіз SWOT-матриці також виявив загрози для регіону, які можуть вплинути на його слабкі сторони: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Політична нестабільність:</w:t>
      </w:r>
      <w:r>
        <w:rPr>
          <w:rFonts w:ascii="Times New Roman" w:hAnsi="Times New Roman"/>
          <w:sz w:val="28"/>
        </w:rPr>
        <w:t xml:space="preserve"> Воєнні дії на сході України та політична нестабільність можуть вплинути на зменшення населення та іноземні інвестиції.</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Світова економічна криза:</w:t>
      </w:r>
      <w:r>
        <w:rPr>
          <w:rFonts w:ascii="Times New Roman" w:hAnsi="Times New Roman"/>
          <w:sz w:val="28"/>
        </w:rPr>
        <w:t xml:space="preserve"> Високий рівень безробіття та низька інноваційна активність промислових підприємств можуть погіршити економічну ситуацію, особливо в сільських районах.</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 xml:space="preserve">Інфляція та нестабільність національної валюти: </w:t>
      </w:r>
      <w:r>
        <w:rPr>
          <w:rFonts w:ascii="Times New Roman" w:hAnsi="Times New Roman"/>
          <w:sz w:val="28"/>
        </w:rPr>
        <w:t>Зростання інфляції та коливання національної валюти можуть вплинути на купівельну спроможність населення, вартість кредитних ресурсів та здатність до технічного оновлення та модернізації виробництва.</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lastRenderedPageBreak/>
        <w:t>Недостатня державна підтримка:</w:t>
      </w:r>
      <w:r>
        <w:rPr>
          <w:rFonts w:ascii="Times New Roman" w:hAnsi="Times New Roman"/>
          <w:sz w:val="28"/>
        </w:rPr>
        <w:t xml:space="preserve"> Недостатня фінансова підтримка з боку центральних владних органів може ускладнити розвиток транспортної інфраструктури, житлово-комунального господарства та об’єктів соціальної інфраструктури.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Тінізація економіки:</w:t>
      </w:r>
      <w:r>
        <w:rPr>
          <w:rFonts w:ascii="Times New Roman" w:hAnsi="Times New Roman"/>
          <w:sz w:val="28"/>
        </w:rPr>
        <w:t xml:space="preserve"> Високий рівень тінізації економіки, міграційні процеси та нестача робочої сили можуть вплинути на іноземні інвестиції та спричинити втрату робочої сили.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Цей аналіз SWOT допомагає виділити ключові переваги та ризики для регіону і розробити стратегію розвитку, спрямовану на максимізацію переваг і мінімізацію ризиків.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Для вирішення проблем та майбутнього області складено сценарії розвитку Хмельницької області на 2021 – 2027 роки.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 сценарієм розвитку Хмельниччини розуміється система взаємопов’язаних заходів, які відображають можливі трансформації соціально-економічної системи регіону в майбутньому під впливом зовнішніх і внутрішніх факторів. Залежно від вагомого впливу глобальних, національних і регіональних чинників на структуру економіки та співвідношення елементів економічної системи, можуть відбуватися різноманітні трансформаційні процеси, що впливають на розвиток окремих галузей, груп галузей, видів діяльності та сфер національної економіки на регіональному рівні [41; 43; 50; 61].</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Ці трансформаційні процеси можуть призвести до таких основних сценаріїв економічного розвитку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Інерційний сценарій:</w:t>
      </w:r>
      <w:r>
        <w:rPr>
          <w:rFonts w:ascii="Times New Roman" w:hAnsi="Times New Roman"/>
          <w:sz w:val="28"/>
        </w:rPr>
        <w:t xml:space="preserve"> </w:t>
      </w:r>
      <w:proofErr w:type="gramStart"/>
      <w:r>
        <w:rPr>
          <w:rFonts w:ascii="Times New Roman" w:hAnsi="Times New Roman"/>
          <w:sz w:val="28"/>
        </w:rPr>
        <w:t>В</w:t>
      </w:r>
      <w:proofErr w:type="gramEnd"/>
      <w:r>
        <w:rPr>
          <w:rFonts w:ascii="Times New Roman" w:hAnsi="Times New Roman"/>
          <w:sz w:val="28"/>
        </w:rPr>
        <w:t xml:space="preserve"> цьому сценарії розвитку Хмельницької області, існуючі ресурси та фінансовий потенціал використовуються для підтримки наявного рівня соціально-економічного розвитку. Регіон рухається за інерцією через негативний стан економіки країни, який не сприяє розвитку регіональних ринків та інфраструктури.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lastRenderedPageBreak/>
        <w:t>Фактори інерційного сценарію:</w:t>
      </w:r>
      <w:r>
        <w:rPr>
          <w:rFonts w:ascii="Times New Roman" w:hAnsi="Times New Roman"/>
          <w:sz w:val="28"/>
        </w:rPr>
        <w:t xml:space="preserve"> Важливі фактори цього сценарію включають глобальні та національні аспекти, такі як глобалізація, витрати на армію та валютна стабільність, а також стабільність гривні та інфляція. Інвестиційна привабливість, податкова система та інші фактори також залишаються незмінними.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Послідовності інерційного сценарію:</w:t>
      </w:r>
      <w:r>
        <w:rPr>
          <w:rFonts w:ascii="Times New Roman" w:hAnsi="Times New Roman"/>
          <w:sz w:val="28"/>
        </w:rPr>
        <w:t xml:space="preserve"> Демографічна ситуація залишається незмінною або погіршується, що призводить до старіння населення та зростання навантаження на працездатне населення.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Цей сценарій передбачає невеликий ріст і може призвести до стагнації регіонального розвитку, особливо в умовах економічних труднощів національного рівня.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 структурою економіки Хмельниччини незважаючи на поступові зміни, регіон залишається переважно промислово-сільськогосподарським. Економічний профіль області поступово, але повільно, перетворюється з промислового у бік торгівельно-послугового і фінансово-посередницького секторів. Однак реальний сектор економіки продовжує зменшуватися через незвабливий підприємницький клімат та обмежену інвестиційну привабливість.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Негативні фактори підприємницького середовища та низька інвестиційна привабливість призводитимуть до зменшення обсягів реального сектора економіки. Це відображатиметься на зменшенні робочих місць у реальному секторі, тоді як більшість населення буде займатися торгівлею, наданням послуг, а також одержувати бюджетні, пенсійні та соціальні виплати.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Структура промислового виробництва залишатиметься незмінною, з великою кількістю низькотехнологічних підприємств у галузі переробної промисловості. Розрив між номінальним та реальним валовий регіональний продукт (ВРП) збільшуватиметься через інфляцію, а обсяги продукції будуть </w:t>
      </w:r>
      <w:r>
        <w:rPr>
          <w:rFonts w:ascii="Times New Roman" w:hAnsi="Times New Roman"/>
          <w:sz w:val="28"/>
        </w:rPr>
        <w:lastRenderedPageBreak/>
        <w:t>зменшуватися через проблеми з освоєнням європейських ринків та низьку якість продукції.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Аграрна галузь має деякий потенціал завдяки попиту на продукти харчування, але існуюча структура сільськогосподарського виробництва перешкоджає переходу до високотехнологічних методів виробництва. Малі та середні підприємства розвиватимуться повільними темпами, і їхніми головними галузями діяльності залишатимуться торгівля та послуги.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Агропромисловий потенціал не буде зростати значно, можливі скорочення прибутковості через падіння цін на світових ринках. Сільські території продовжать втрачати значення через відсутність робочих місць та джерел доходів для сільського населення. Молодь відчуватиме проблеми з працевлаштуванням в регіоні, що призведе до зростання міграції до інших міст та за кордон.</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Недостатній рівень соціально-економічного розвитку регіону не сприятиме ефективному розвитку таких галузей, як туризм та ІТ-технології. Незважаючи на потенціал для росту, інновації </w:t>
      </w:r>
      <w:proofErr w:type="gramStart"/>
      <w:r>
        <w:rPr>
          <w:rFonts w:ascii="Times New Roman" w:hAnsi="Times New Roman"/>
          <w:sz w:val="28"/>
        </w:rPr>
        <w:t>у сферах</w:t>
      </w:r>
      <w:proofErr w:type="gramEnd"/>
      <w:r>
        <w:rPr>
          <w:rFonts w:ascii="Times New Roman" w:hAnsi="Times New Roman"/>
          <w:sz w:val="28"/>
        </w:rPr>
        <w:t xml:space="preserve"> приладобудування та сучасної техніки розвиватимуться повільно. Співпраця з провідними міжнародними компаніями в галузі машинобудування та приладобудування буде обмеженою, хоча у регіоні є всі необхідні ресурси і потенціал для такої співпраці.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Обсяги експорту та імпорту зростатимуть повільно, і буде відзначатися переважанням спрямувань до країн Європейського Союзу та сусідніх держав. Головними товарами залишатимуться продукти тваринного та рослинного походження (сировина).</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Значна увага буде приділятися інноваційним ініціативам. Рівень зайнятості матиме невеликий ріст, і безробіття зменшиться трохи. Середня місячна заробітна плата залишатиметься приблизно на тому ж рівні в порівнянні з усією Україною. Рівень розвитку освіти залишатиметься стабільним.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У найближчий час передбачається, що кількість дітей дошкільного та шкільного віку в області спочатку збільшуватиметься, а потім зменшуватиметься. Це викличе зростання попиту на місця в закладах дошкільної освіти, особливо в містах обласного підпорядкування.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Кількість закладів загальної середньої освіти поступово зменшуватиметься через об’єднання зі спеціалізованими закладами та закриття менших навчальних закладів.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Соціально-економічна ситуація в країні та області не покращиться, що вплине на здоров’я населення і обладнання лікувально-профілактичних закладів. Профілактичні заходи не будуть ефективними, що призведе до зростання захворюваності населення і подальшого погіршення демографічної ситуації.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Біорізноманіття буде втрачатися через забудову, земельну реконструкцію, меліорацію, будівництво водосховищ та транспортну інфраструктуру. Території з природною рослинністю будуть зменшуватися, що загрожує втраті генофонду та цінної рослинності.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Постачання води на території області скорочуватиметься, і воду буде нерівномірно розподіляти. Якість води не завжди відповідатиме санітарним нормам. Обсяг скидання недостатньо очищених стічних вод у водні об’єкти зростатиме.</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Більшість територій та природно-заповідних об’єктів будуть перебувати в поганому стані, інформація про стан біорізноманіття на заповідних об’єктах буде відсутньою, а режими територій не будуть дотримуватися, що призведе до втрати природної цінності цих об’єктів. Проблема державного контролю над виконанням природоохоронного законодавства в Україні буде актуальною. Поточний стан виконання вимог законодавства щодо функціонування природно-заповідного фонду буде незадовільним.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Збереження високого антропогенного навантаження на навколишнє середовище загрожує переходу області до сталого економічного розвитку і розвитку туристично-рекреаційного сектора, що призведе до погіршення демографічних та здоров’я показників населення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Оптимістичний розвиток Хмельницької області буде ґрунтуватися на таких передбаченнях:</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Завершення військового протистояння на сході України, що призведе до стабілізації видатків бюджету, які витрачаються на потреби армії та військово-промислового комплексу.</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Успішне впровадження системних реформ, включаючи судову, податкову, децентралізацію, медичну та інші, сприятиме ефективному розвитку інституцій і підвищенню соціальних гарантій і стандартів.</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Зростання валового внутрішнього продукту (ВВП) країни на більше, ніж 4% з початку 2021 року.</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Стабілізація вартості гривні, що покращить ефективність грошового обігу і функціонування фінансової системи.</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Оптимізація тарифів на комунальні послуги.</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Активне визначення актуальних пріоритетів економічного розвитку Хмельницької області та впровадження стратегії розвитку.</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Покращення підприємницького та інвестиційного клімату області, що збільшить інтерес інвесторів до реалізації бізнес-проєктів на її території.</w:t>
      </w:r>
    </w:p>
    <w:p w:rsidR="007155E9" w:rsidRDefault="002874A3">
      <w:pPr>
        <w:numPr>
          <w:ilvl w:val="0"/>
          <w:numId w:val="27"/>
        </w:numPr>
        <w:tabs>
          <w:tab w:val="left" w:pos="1080"/>
        </w:tabs>
        <w:spacing w:after="0" w:line="360" w:lineRule="auto"/>
        <w:ind w:left="0" w:firstLine="720"/>
        <w:jc w:val="both"/>
        <w:rPr>
          <w:rFonts w:ascii="Times New Roman" w:hAnsi="Times New Roman"/>
          <w:sz w:val="28"/>
        </w:rPr>
      </w:pPr>
      <w:r>
        <w:rPr>
          <w:rFonts w:ascii="Times New Roman" w:hAnsi="Times New Roman"/>
          <w:sz w:val="28"/>
        </w:rPr>
        <w:t>Створення привабливих інвестиційних пропозицій у пріоритетних галузях розвитку області, таких як виробництво будівельних матеріалів, переробка сільськогосподарської продукції тощо [43].</w:t>
      </w:r>
    </w:p>
    <w:p w:rsidR="007155E9" w:rsidRDefault="002874A3">
      <w:pPr>
        <w:spacing w:after="0" w:line="360" w:lineRule="auto"/>
        <w:ind w:firstLine="720"/>
        <w:jc w:val="both"/>
        <w:rPr>
          <w:rFonts w:ascii="Times New Roman" w:hAnsi="Times New Roman"/>
          <w:i/>
          <w:sz w:val="28"/>
        </w:rPr>
      </w:pPr>
      <w:r>
        <w:rPr>
          <w:rFonts w:ascii="Times New Roman" w:hAnsi="Times New Roman"/>
          <w:i/>
          <w:sz w:val="28"/>
        </w:rPr>
        <w:t>Результат оптимістичного сценарію:</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Хмельниччина поступово буде будувати свій імідж як приваблива для інвестицій територія з акцентом на розвиток сільського господарства, </w:t>
      </w:r>
      <w:r>
        <w:rPr>
          <w:rFonts w:ascii="Times New Roman" w:hAnsi="Times New Roman"/>
          <w:sz w:val="28"/>
        </w:rPr>
        <w:lastRenderedPageBreak/>
        <w:t>машинобудування, легкої та будівельної промисловості, туризму та ІТ-технологій, а також наукового сектору. Завдяки ефективній політиці місцевої та регіональної влади область формує портфель привабливих інвестиційних пропозицій і привертає стратегічних інвесторів до пріоритетних галузей економіки та сільського господарства. Існуючі підприємства на території області модернізуються та збільшують обсяги виробництва промислової продукції.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Разом зі стратегічними інвесторами активізується малий і середній бізнес, що заповнює ринкові ніші в області постачальників, логістики та послуг. Це призведе до зростання рівня доходів населення і підтримає внутрішній ринок.</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Головним пріоритетом для регіону стане швидке впровадження адміністративно-територіальної реформи та регіонального розвитку, включаючи розвиток людських ресурсів і створення нових високотехнологічних науково-дослідних та інноваційних підприємств як у промисловому, так і в аграрному секторі економіки.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Збільшується важливість високотехнологічних інноваційних галузей, таких як машинобудування, приладобудування та ІТ-сектор. Окремі експортно-орієнтовані підприємства в легкій та харчовій промисловості модернізуються та посилюють виробництво, продукція яких експортується на європейські ринки.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 сільському господарстві відбувається зміщення в бік малих підприємств і кооперативних об’єднань, що виробляють продукцію, відповідну європейським стандартам якості.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Малий і середній бізнес отримує додатковий стимул для розвитку через обслуговування стратегічних інвесторів. Зростає кількість малих інноваційних виробничих підприємств. Також спостерігається суттєве зростання ефективності експорту сільськогосподарської продукції завдяки збільшенню виробництва і зовнішньої торгівлі, а також активному імпортозаміщенню. Відбувається освоєння нових ринків для продукції місцевих виробників. Це дозволяє </w:t>
      </w:r>
      <w:r>
        <w:rPr>
          <w:rFonts w:ascii="Times New Roman" w:hAnsi="Times New Roman"/>
          <w:sz w:val="28"/>
        </w:rPr>
        <w:lastRenderedPageBreak/>
        <w:t>підприємствам області надійно закріпитися на світовому ринку, постійно збільшуючи обсяги поставок і збільшуючи кількість підприємств, що беруть участь у міжнародних торгівельних операціях.</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Задоволення потреби в висококваліфікованих кадрах, спричинене технологічною модернізацією у промисловості, буде забезпечено місцевими фахівцями завдяки їхній підготовці та перепідготовці, а також через поліпшення системи освіти. Заклади вищої освіти регіону, зокрема, будуть ключовими учасниками в інноваційних сферах розвитку економіки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Малий і середній бізнес швидко виходять із тіні, створюються нові привабливі робочі місця, і середньомісячна заробітна плата для штатних працівників в області наближається до середньоукраїнського рівня. Рівень безробіття зменшується з 8,8% до 7%. Всі діти дошкільного віку, які цього потребують, будуть мати доступ до закладів дошкільної освіти. Крім того, парк шкільних автобусів буде оновлений та поповнений. Заклади охорони здоров’я після реформ будуть оснащені сучасною високотехнологічною апаратурою, що покращить надання медичної допомоги. Профілактичні заходи сприятимуть зниженню рівня захворюваності, зокрема, захворювань системи кровообігу, злоякісних пухлин, органів дихання та травлення. Покращення ситуації в соціально-економічній сфері нації та області призведе до збільшення народжуваності.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Регіон буде екологічно безпечним і надаватиме комфортні та безпечні умови для життя людини. Розвиток економіки буде відповідати вимогам збереження довкілля. Збереження біорізноманіття та його відповідальне використання вважатиметься пріоритетом в галузі природокористування, екологічної безпеки та охорони природи, що стане невід’ємною частиною збалансованого економічного та соціального розвитку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Завдяки реалізації програми «Нова українська школа» та залученню коштів місцевих бюджетів матеріальна та навчальна база закладів освіти значно покращиться. Усі освітні заклади будуть забезпечені комп’ютерами та підключені до Інтернету.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Реалістичний сценарій передбачає можливість настання обставин, які ускладнюватимуть втілення оптимістичного сценарію. За такого сценарію впровадження системних реформ у Хмельницькій області стикається з певними проблемами юридичного, фінансового та організаційного характеру, що гальмує їхнє проведення.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Унаслідок цього підвищення інвестиційної привабливості регіону відбувається повільно, і, в результаті, значна частина регіональних ресурсів буде спрямована на підготовлені території, де створюються окремі місцеві «точки росту». На цих територіях можливий інноваційний розвиток існуючих і нових промислових секторів та виробництв, що робить їх новою моделлю територіального інноваційного розвитку. На таких територіях створюються інвестиційні зони, які приваблюють стратегічних інвесторів та сприяють створенню нових інноваційних підприємств як у промисловому, так і в аграрному секторі. Малий і середній бізнес також активізується на цих територіях, створюючи логістичні мережі для підтримки стратегічних інвесторів. На цих територіях починають діяти високотехнологічні інноваційні підприємства малого та середнього бізнесу, такі як зв’язок і ІКТ тощо. З часом інноваційний розвиток пошириться на інші території Хмельницької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Побудова енергоблоків № 3 та № 4 окремого підрозділу «Хмельницька атомна електрична станція» державного підприємства «Національна атомна енергогенеруюча компанія «Енергоатом» (м. Нетішин) завершиться після виконання всіх необхідних процедур. Також термін експлуатації енергоблоку № </w:t>
      </w:r>
      <w:r>
        <w:rPr>
          <w:rFonts w:ascii="Times New Roman" w:hAnsi="Times New Roman"/>
          <w:sz w:val="28"/>
        </w:rPr>
        <w:lastRenderedPageBreak/>
        <w:t>1 буде продовжено на ще 10 років. Ці заходи значно підсилять промислове виробництво в галузі електроенергетики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Запуск сміттєпереробних заводів у м. Хмельницький та м. Старокостянтинів суттєво покращить екологічну ситуацію в регіоні. Індустріальні парки «Хмельницький» та «Славута» будуть введені в експлуатацію, що дозволить створити нові робочі місця, працевлаштування молоді та запобігання витоку кваліфікованих робітничих кадрів за кордон.</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Зростання обороноздатності України призведе до збільшення обсягів державного оборонного замовлення на 4 державних підприємствах області, що входять </w:t>
      </w:r>
      <w:proofErr w:type="gramStart"/>
      <w:r>
        <w:rPr>
          <w:rFonts w:ascii="Times New Roman" w:hAnsi="Times New Roman"/>
          <w:sz w:val="28"/>
        </w:rPr>
        <w:t>до складу</w:t>
      </w:r>
      <w:proofErr w:type="gramEnd"/>
      <w:r>
        <w:rPr>
          <w:rFonts w:ascii="Times New Roman" w:hAnsi="Times New Roman"/>
          <w:sz w:val="28"/>
        </w:rPr>
        <w:t xml:space="preserve"> ДК «Укроборонпром», а також на інших підприємствах машинобудівних галузей, які співпрацюють з ними.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Завершення воєнних дій на сході країни позитивно позначиться на інвестиційній привабливості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 рахунок низки інфраструктурних покращень, таких як відновлення аеропорту, розширення Хмельницького інноваційного терміналу ТОВ «Нова пошта», розвиток залізничного та автомобільного транспорту тощо, область стане логістичним центром Західного регіону, що сприятиме активному привертанню інвестиційних ресурсів.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Зауважимо поступовий ріст частки готової продукції у загальному обсязі експорту, розширення зовнішньої торгівлі з країнами Європейського Союзу та окремими країнами світу, і створення спільних експортоорієнтованих підприємств на території Хмельницької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Систематичне виходження економіки з тіні, зокрема у малому і середньому підприємництві, недостатньо стимулюється державою.</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Покращення соціальної інфраструктури та соціальних послуг відбувається повільно через обмежені фінансові ресурси.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Середньомісячна заробітна плата одного штатного працівника по області становить приблизно 90% рівня заробітної плати в Україні (у порівнянні з поточним 83%). Рівень безробіття спадає до 8,0% (в порівнянні з поточним 8,8%).</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Сприятливий екологічний стан та рівень екологічної безпеки області залишаються практично нещадними і відповідають поточному стану справ.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Показники якості атмосферного повітря в області залишаються стабільними, і в порівнянні з минулими роками суттєво не погіршуються.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Мережа освітніх закладів і надання освітніх послуг покращуються повільно через обмежені фінансові ресурси.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Проблеми розвитку освіти області будуть поетапно вирішуватись, але це не забезпечить їх комплексного вирішення.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Продовжуватиметься реформування закладів охорони здоров’я, і їхні можливості надавати доступну та якісну допомогу населенню області, сприятимуть зниженню рівня захворюваності серед населення, що сприятиме стабілізації показників народжуваності та смертності.</w:t>
      </w:r>
    </w:p>
    <w:p w:rsidR="007155E9" w:rsidRDefault="002874A3">
      <w:pPr>
        <w:pStyle w:val="af"/>
        <w:spacing w:before="0" w:after="0" w:line="360" w:lineRule="auto"/>
        <w:ind w:firstLine="720"/>
        <w:jc w:val="both"/>
        <w:rPr>
          <w:rFonts w:ascii="Times New Roman" w:hAnsi="Times New Roman"/>
          <w:b/>
          <w:sz w:val="28"/>
        </w:rPr>
      </w:pPr>
      <w:r>
        <w:rPr>
          <w:rFonts w:ascii="Times New Roman" w:hAnsi="Times New Roman"/>
          <w:b/>
          <w:sz w:val="28"/>
        </w:rPr>
        <w:t>1.2. Сутність, структура та зміст туристичного комплексу територіальної громади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Туристичний комплекс – це система, яка включає в себе різні суб’єкти та об’єкти туристичної діяльності та інфраструктуру, які об’єднані з метою задоволення потреб туристів і подання їм різноманітних послуг. Ось основні аспекти щодо сутності, структури та змісту туристичного комплексу.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Це економічна, соціокультурна та екологічна система, яка об’єднує різні суб’єкти (готелі, ресторани, туристичні агентства, транспортні компанії) та об’єкти (природні та культурні пам’ятки, розваги) для надання туристам послуг та задоволення їх потреб.</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Сутність туристичного комплексу включає в себе різноманітні аспекти, які створюють привабливість для відвідувачів. Ось кілька прикладів, що можуть входити в сутність туристичного комплексу:</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Туристичні атракції</w:t>
      </w:r>
      <w:r>
        <w:rPr>
          <w:rFonts w:ascii="Times New Roman" w:hAnsi="Times New Roman"/>
          <w:sz w:val="28"/>
        </w:rPr>
        <w:t>: Це можуть бути природні об’єкти, історичні пам’ятки, архітектурні перлини, музеї, парки розваг, а також культурні та релігійні місця. Наприклад, величезні водоспади, старовинні замки, пляжі, храми і собори.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Інфраструктура:</w:t>
      </w:r>
      <w:r>
        <w:rPr>
          <w:rFonts w:ascii="Times New Roman" w:hAnsi="Times New Roman"/>
          <w:sz w:val="28"/>
        </w:rPr>
        <w:t xml:space="preserve"> Сутність включає розвинену туристичну інфраструктуру, таку як готелі, ресторани, транспортні засоби, туристичні агентства, аеропорти та інші послуги, які забезпечують комфорт та безпеку подорожуючих.</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Культурна програма</w:t>
      </w:r>
      <w:r>
        <w:rPr>
          <w:rFonts w:ascii="Times New Roman" w:hAnsi="Times New Roman"/>
          <w:sz w:val="28"/>
        </w:rPr>
        <w:t>: Туристичний комплекс може включати різноманітні культурні заходи, такі як фестивалі, концерти, виставки, а також можливості для вивчення місцевої культури, мистецтва і кухні.</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Активний відпочинок</w:t>
      </w:r>
      <w:r>
        <w:rPr>
          <w:rFonts w:ascii="Times New Roman" w:hAnsi="Times New Roman"/>
          <w:sz w:val="28"/>
        </w:rPr>
        <w:t>: Для багатьох туристів важливі активні види відпочинку, такі як гірський туризм, велоспорт, водні види спорту, альпінізм, каякінг, а також можливості для піших прогулянок та відвідування національних парків.</w:t>
      </w:r>
    </w:p>
    <w:p w:rsidR="007155E9" w:rsidRDefault="002874A3">
      <w:pPr>
        <w:spacing w:after="0" w:line="360" w:lineRule="auto"/>
        <w:ind w:firstLine="720"/>
        <w:jc w:val="center"/>
        <w:rPr>
          <w:sz w:val="22"/>
        </w:rPr>
      </w:pPr>
      <w:r>
        <w:rPr>
          <w:noProof/>
        </w:rPr>
        <w:lastRenderedPageBreak/>
        <w:drawing>
          <wp:inline distT="0" distB="0" distL="0" distR="0">
            <wp:extent cx="3918585" cy="71412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918585" cy="7141210"/>
                    </a:xfrm>
                    <a:prstGeom prst="rect">
                      <a:avLst/>
                    </a:prstGeom>
                    <a:solidFill>
                      <a:srgbClr val="FFFFFF"/>
                    </a:solidFill>
                  </pic:spPr>
                </pic:pic>
              </a:graphicData>
            </a:graphic>
          </wp:inline>
        </w:drawing>
      </w:r>
      <w:r>
        <w:rPr>
          <w:sz w:val="22"/>
        </w:rPr>
        <w:t xml:space="preserve"> </w:t>
      </w:r>
    </w:p>
    <w:p w:rsidR="007155E9" w:rsidRDefault="002874A3">
      <w:pPr>
        <w:spacing w:after="0" w:line="360" w:lineRule="auto"/>
        <w:ind w:firstLine="720"/>
        <w:jc w:val="center"/>
        <w:rPr>
          <w:rFonts w:ascii="Times New Roman" w:hAnsi="Times New Roman"/>
          <w:sz w:val="28"/>
        </w:rPr>
      </w:pPr>
      <w:r>
        <w:rPr>
          <w:rFonts w:ascii="Times New Roman" w:hAnsi="Times New Roman"/>
          <w:sz w:val="28"/>
        </w:rPr>
        <w:t>Туристичний комплекс Хмельниччини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lastRenderedPageBreak/>
        <w:t>Екскурсії та гіди</w:t>
      </w:r>
      <w:r>
        <w:rPr>
          <w:rFonts w:ascii="Times New Roman" w:hAnsi="Times New Roman"/>
          <w:sz w:val="28"/>
        </w:rPr>
        <w:t>: Туристичний комплекс може надавати послуги з організації екскурсій та професійних гідів, які розповідають туристам про історію, культуру та особливості регіону.</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Туристичний маркетинг і реклама</w:t>
      </w:r>
      <w:r>
        <w:rPr>
          <w:rFonts w:ascii="Times New Roman" w:hAnsi="Times New Roman"/>
          <w:sz w:val="28"/>
        </w:rPr>
        <w:t>: Сприяння просуванню та рекламі туристичного напрямку через рекламні кампанії, веб-сайти, соціальні мережі та інші медіа-засоби.</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Інновації та розвиток</w:t>
      </w:r>
      <w:r>
        <w:rPr>
          <w:rFonts w:ascii="Times New Roman" w:hAnsi="Times New Roman"/>
          <w:sz w:val="28"/>
        </w:rPr>
        <w:t>: Постійний розвиток туристичного комплексу, включаючи створення нових туристичних маршрутів, послуг та інноваційні рішення, які забезпечують привабливість та конкурентоспроможність.</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Соціальна відповідальність</w:t>
      </w:r>
      <w:r>
        <w:rPr>
          <w:rFonts w:ascii="Times New Roman" w:hAnsi="Times New Roman"/>
          <w:sz w:val="28"/>
        </w:rPr>
        <w:t>: Забезпечення туристичної діяльності, яка зберігає та підтримує природні і культурні цінності регіону, а також сприяє підвищенню якості життя місцевого населення.</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Партнерство</w:t>
      </w:r>
      <w:r>
        <w:rPr>
          <w:rFonts w:ascii="Times New Roman" w:hAnsi="Times New Roman"/>
          <w:sz w:val="28"/>
        </w:rPr>
        <w:t>: Співпраця з громадськими організаціями, бізнесом, місцевими органами влади та іншими стейкхолдерами для спільного розвитку і управління туристичним комплексом.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Сутність туристичного комплексу може бути унікальною для кожного регіону та залежить від його особливостей та можливостей.</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w:t>
      </w:r>
      <w:r>
        <w:rPr>
          <w:rFonts w:ascii="Times New Roman" w:hAnsi="Times New Roman"/>
          <w:b/>
          <w:i/>
          <w:sz w:val="28"/>
        </w:rPr>
        <w:t>Структура туристичного комплексу</w:t>
      </w:r>
      <w:r>
        <w:rPr>
          <w:rFonts w:ascii="Times New Roman" w:hAnsi="Times New Roman"/>
          <w:sz w:val="28"/>
        </w:rPr>
        <w:t>: Туристичний комплекс має складну структуру, яка включає в себе наступні елементи: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І</w:t>
      </w:r>
      <w:r>
        <w:rPr>
          <w:rFonts w:ascii="Times New Roman" w:hAnsi="Times New Roman"/>
          <w:i/>
          <w:sz w:val="28"/>
        </w:rPr>
        <w:t>нфраструктура</w:t>
      </w:r>
      <w:r>
        <w:rPr>
          <w:rFonts w:ascii="Times New Roman" w:hAnsi="Times New Roman"/>
          <w:sz w:val="28"/>
        </w:rPr>
        <w:t xml:space="preserve">: це об’єкти, які забезпечують фізичні умови </w:t>
      </w:r>
      <w:proofErr w:type="gramStart"/>
      <w:r>
        <w:rPr>
          <w:rFonts w:ascii="Times New Roman" w:hAnsi="Times New Roman"/>
          <w:sz w:val="28"/>
        </w:rPr>
        <w:t>для туризму</w:t>
      </w:r>
      <w:proofErr w:type="gramEnd"/>
      <w:r>
        <w:rPr>
          <w:rFonts w:ascii="Times New Roman" w:hAnsi="Times New Roman"/>
          <w:sz w:val="28"/>
        </w:rPr>
        <w:t>, включаючи готелі, ресторани, транспортну мережу, аеропорти, дороги, музеї та інше.</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w:t>
      </w:r>
      <w:r>
        <w:rPr>
          <w:rFonts w:ascii="Times New Roman" w:hAnsi="Times New Roman"/>
          <w:i/>
          <w:sz w:val="28"/>
        </w:rPr>
        <w:t>Туристичні підприємства</w:t>
      </w:r>
      <w:r>
        <w:rPr>
          <w:rFonts w:ascii="Times New Roman" w:hAnsi="Times New Roman"/>
          <w:sz w:val="28"/>
        </w:rPr>
        <w:t>: це суб’єкти, які надають різні туристичні послуги, такі як готельні, ресторани, туроператори, агентства, гіди тощо.</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w:t>
      </w:r>
      <w:r>
        <w:rPr>
          <w:rFonts w:ascii="Times New Roman" w:hAnsi="Times New Roman"/>
          <w:i/>
          <w:sz w:val="28"/>
        </w:rPr>
        <w:t>Природні та культурні об’єкти</w:t>
      </w:r>
      <w:r>
        <w:rPr>
          <w:rFonts w:ascii="Times New Roman" w:hAnsi="Times New Roman"/>
          <w:sz w:val="28"/>
        </w:rPr>
        <w:t>: це природні пам’ятки (гори, пляжі, парки) і культурні пам’ятки (музеї, історичні місця), які приваблюють туристів.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 </w:t>
      </w:r>
      <w:r>
        <w:rPr>
          <w:rFonts w:ascii="Times New Roman" w:hAnsi="Times New Roman"/>
          <w:i/>
          <w:sz w:val="28"/>
        </w:rPr>
        <w:t>Організаційні структури</w:t>
      </w:r>
      <w:r>
        <w:rPr>
          <w:rFonts w:ascii="Times New Roman" w:hAnsi="Times New Roman"/>
          <w:sz w:val="28"/>
        </w:rPr>
        <w:t>: включають в себе регіональні і національні органи управління туризмом, а також асоціації і об’єднання, які координують розвиток туризму.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w:t>
      </w:r>
      <w:r>
        <w:rPr>
          <w:rFonts w:ascii="Times New Roman" w:hAnsi="Times New Roman"/>
          <w:i/>
          <w:sz w:val="28"/>
        </w:rPr>
        <w:t>Туристи</w:t>
      </w:r>
      <w:r>
        <w:rPr>
          <w:rFonts w:ascii="Times New Roman" w:hAnsi="Times New Roman"/>
          <w:sz w:val="28"/>
        </w:rPr>
        <w:t>: це основні суб’єкти попиту, які користуються послугами туристичного комплексу.</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 xml:space="preserve"> </w:t>
      </w:r>
      <w:r>
        <w:rPr>
          <w:rFonts w:ascii="Times New Roman" w:hAnsi="Times New Roman"/>
          <w:b/>
          <w:i/>
          <w:sz w:val="28"/>
        </w:rPr>
        <w:t>Зміст туристичного комплексу</w:t>
      </w:r>
      <w:r>
        <w:rPr>
          <w:rFonts w:ascii="Times New Roman" w:hAnsi="Times New Roman"/>
          <w:b/>
          <w:sz w:val="28"/>
        </w:rPr>
        <w:t>:</w:t>
      </w:r>
      <w:r>
        <w:rPr>
          <w:rFonts w:ascii="Times New Roman" w:hAnsi="Times New Roman"/>
          <w:sz w:val="28"/>
        </w:rPr>
        <w:t xml:space="preserve"> Зміст туристичного комплексу включає в себе різні види послуг та діяльності, спрямовані на задоволення потреб та бажань туристів. До змісту туристичного комплексу входять: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 Розміщення та проживання: готелі, мотелі, кемпінги тощо.</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 Харчування: ресторани, кафе, фастфуд, столові.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 Розваги та дозвілля: екскурсії, спортивні заходи, культурні події.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 Транспортні послуги: авіація, залізниця, автобуси, таксі тощо.</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Туроператорські послуги: організація та планування туристичних подорожей.</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Інформаційні послуги: надання інформації та консультації туристам.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Туристичний комплекс є ключовим компонентом економіки багатьох країн і важливою галуззю, яка сприяє створенню робочих місць і розвитку регіонів. Дослідження та управління туристичним комплексом допомагають максимізувати його позитивний вплив і знижувати негативні наслідки для природи та культурного спадку. </w:t>
      </w:r>
    </w:p>
    <w:p w:rsidR="007155E9" w:rsidRDefault="007155E9">
      <w:pPr>
        <w:spacing w:after="0" w:line="360" w:lineRule="auto"/>
        <w:ind w:firstLine="720"/>
        <w:jc w:val="both"/>
        <w:rPr>
          <w:rFonts w:ascii="Times New Roman" w:hAnsi="Times New Roman"/>
          <w:sz w:val="28"/>
        </w:rPr>
      </w:pP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1.3. Сучасний стан об’єктів туристичного комплексу Хмельницької міської територіальної громади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За 2021 рік відбулись значні </w:t>
      </w:r>
      <w:proofErr w:type="gramStart"/>
      <w:r>
        <w:rPr>
          <w:rFonts w:ascii="Times New Roman" w:hAnsi="Times New Roman"/>
          <w:sz w:val="28"/>
        </w:rPr>
        <w:t>зміни  у</w:t>
      </w:r>
      <w:proofErr w:type="gramEnd"/>
      <w:r>
        <w:rPr>
          <w:rFonts w:ascii="Times New Roman" w:hAnsi="Times New Roman"/>
          <w:sz w:val="28"/>
        </w:rPr>
        <w:t xml:space="preserve"> розвитку інформаційної складової у місті Хмельницькому. Керівництво в галузі культури та туризму діяло активно, зосереджуючись на втіленні Стратегічного плану розвитку міської територіальної громади на 2021-2025 рр., Програми соціального та економічного </w:t>
      </w:r>
      <w:r>
        <w:rPr>
          <w:rFonts w:ascii="Times New Roman" w:hAnsi="Times New Roman"/>
          <w:sz w:val="28"/>
        </w:rPr>
        <w:lastRenderedPageBreak/>
        <w:t>розвитку міської територіальної громади Хмельницького на 2021 рік, Програми підтримки обдарованих дітей міста Хмельницького, перетворення мережі культурних закладів громади та забезпечення якісних та доступних культурно-освітніх послуг для населення. Вони також працювали над організацією змістовного культурно-мистецького дозвілля місцевих жителів, збереженням та популяризацією історико-культурної спадщини, народних традицій, а також розвитком бібліотек, музеїв і туризму.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 звітному році були схвалені Програма розвитку культури міської територіальної громади Хмельницького на період з 2021 по 2025 рр., підтримка книговидання та читацької культури у міській територіальній громаді Хмельницького під гаслом «Щодня читай українською» на період з 2021 до 2025 рр. Фінансування цих галузей зросло на 38,2 мільйони гривень у порівнянні з 2020 роком, до загальної суми 144,3 мільйони гривень.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Значні зміни сталися в мережі культурних закладів, включаючи затвердження нового переліку базових закладів культури міської територіальної громади Хмельницького. Також було створено комунальне підприємство «Хмельницький туристично-інформаційний центр» і затверджено його статут та програму розвитку інформаційної інфраструктури туристичних послуг на 2021-2023 рр. (</w:t>
      </w:r>
      <w:hyperlink r:id="rId8" w:history="1">
        <w:r>
          <w:rPr>
            <w:rStyle w:val="af3"/>
            <w:rFonts w:ascii="Times New Roman" w:hAnsi="Times New Roman"/>
            <w:color w:val="auto"/>
            <w:sz w:val="28"/>
          </w:rPr>
          <w:t>Zvit Хмельницький_2021.pdf</w:t>
        </w:r>
      </w:hyperlink>
      <w:r>
        <w:rPr>
          <w:rFonts w:ascii="Times New Roman" w:hAnsi="Times New Roman"/>
          <w:sz w:val="28"/>
        </w:rPr>
        <w:t xml:space="preserve"> )</w:t>
      </w:r>
    </w:p>
    <w:p w:rsidR="007155E9" w:rsidRDefault="002874A3">
      <w:pPr>
        <w:shd w:val="clear" w:color="auto" w:fill="FFFFFF"/>
        <w:spacing w:after="0" w:line="360" w:lineRule="auto"/>
        <w:ind w:firstLine="709"/>
        <w:jc w:val="both"/>
        <w:rPr>
          <w:rFonts w:ascii="Times New Roman" w:hAnsi="Times New Roman"/>
          <w:b/>
          <w:i/>
          <w:sz w:val="28"/>
        </w:rPr>
      </w:pPr>
      <w:r>
        <w:rPr>
          <w:rFonts w:ascii="Times New Roman" w:hAnsi="Times New Roman"/>
          <w:b/>
          <w:i/>
          <w:sz w:val="28"/>
        </w:rPr>
        <w:t>Природоохоронні території та об’єкти Хмельницької міської територіальної громади</w:t>
      </w:r>
    </w:p>
    <w:p w:rsidR="007155E9" w:rsidRDefault="002874A3">
      <w:pPr>
        <w:shd w:val="clear" w:color="auto" w:fill="FFFFFF"/>
        <w:spacing w:after="0" w:line="360" w:lineRule="auto"/>
        <w:ind w:firstLine="709"/>
        <w:jc w:val="both"/>
        <w:rPr>
          <w:rFonts w:ascii="Times New Roman" w:hAnsi="Times New Roman"/>
          <w:sz w:val="28"/>
        </w:rPr>
      </w:pPr>
      <w:r>
        <w:rPr>
          <w:rFonts w:ascii="Times New Roman" w:hAnsi="Times New Roman"/>
          <w:sz w:val="28"/>
        </w:rPr>
        <w:t>Природоохоронні території та об’єкти Хмельницької міської територіальної громади (МТГ) набули статусу пам’ятка природи місцевого значення в Україні у різні часи відповідно до рішень сесій Хмельницького обласного виконавчого комітету, Хмельницької обласної ради, Хмельницької міської ради.</w:t>
      </w:r>
    </w:p>
    <w:p w:rsidR="007155E9" w:rsidRDefault="007155E9">
      <w:pPr>
        <w:shd w:val="clear" w:color="auto" w:fill="FFFFFF"/>
        <w:spacing w:after="0" w:line="360" w:lineRule="auto"/>
        <w:ind w:firstLine="709"/>
        <w:jc w:val="both"/>
        <w:rPr>
          <w:rFonts w:ascii="Times New Roman" w:hAnsi="Times New Roman"/>
          <w:sz w:val="28"/>
        </w:rPr>
      </w:pPr>
    </w:p>
    <w:p w:rsidR="007155E9" w:rsidRDefault="002874A3">
      <w:pPr>
        <w:shd w:val="clear" w:color="auto" w:fill="FFFFFF"/>
        <w:spacing w:after="0" w:line="360" w:lineRule="auto"/>
        <w:jc w:val="center"/>
        <w:rPr>
          <w:rFonts w:ascii="Times New Roman" w:hAnsi="Times New Roman"/>
          <w:b/>
          <w:i/>
          <w:color w:val="0000FF"/>
          <w:sz w:val="28"/>
        </w:rPr>
      </w:pPr>
      <w:r>
        <w:rPr>
          <w:noProof/>
        </w:rPr>
        <w:lastRenderedPageBreak/>
        <w:drawing>
          <wp:inline distT="0" distB="0" distL="0" distR="0">
            <wp:extent cx="6029325" cy="45967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6029325" cy="4596765"/>
                    </a:xfrm>
                    <a:prstGeom prst="rect">
                      <a:avLst/>
                    </a:prstGeom>
                    <a:solidFill>
                      <a:srgbClr val="FFFFFF"/>
                    </a:solidFill>
                  </pic:spPr>
                </pic:pic>
              </a:graphicData>
            </a:graphic>
          </wp:inline>
        </w:drawing>
      </w:r>
    </w:p>
    <w:p w:rsidR="007155E9" w:rsidRDefault="002874A3">
      <w:pPr>
        <w:shd w:val="clear" w:color="auto" w:fill="FFFFFF"/>
        <w:spacing w:after="0" w:line="360" w:lineRule="auto"/>
        <w:ind w:firstLine="709"/>
        <w:jc w:val="right"/>
        <w:rPr>
          <w:rFonts w:ascii="Times New Roman" w:hAnsi="Times New Roman"/>
          <w:i/>
          <w:sz w:val="28"/>
        </w:rPr>
      </w:pPr>
      <w:r>
        <w:rPr>
          <w:rFonts w:ascii="Times New Roman" w:hAnsi="Times New Roman"/>
          <w:i/>
          <w:sz w:val="28"/>
        </w:rPr>
        <w:t>Таблиця 1.1.</w:t>
      </w:r>
    </w:p>
    <w:p w:rsidR="007155E9" w:rsidRDefault="002874A3">
      <w:pPr>
        <w:shd w:val="clear" w:color="auto" w:fill="FFFFFF"/>
        <w:spacing w:after="0" w:line="360" w:lineRule="auto"/>
        <w:ind w:firstLine="709"/>
        <w:jc w:val="center"/>
        <w:rPr>
          <w:rFonts w:ascii="Times New Roman" w:hAnsi="Times New Roman"/>
          <w:sz w:val="28"/>
        </w:rPr>
      </w:pPr>
      <w:r>
        <w:rPr>
          <w:rFonts w:ascii="Times New Roman" w:hAnsi="Times New Roman"/>
          <w:b/>
          <w:sz w:val="28"/>
        </w:rPr>
        <w:t>Природоохоронні території та об’єкти Хмельницької міської територіальної громади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638"/>
      </w:tblGrid>
      <w:tr w:rsidR="007155E9">
        <w:trPr>
          <w:trHeight w:val="80"/>
        </w:trPr>
        <w:tc>
          <w:tcPr>
            <w:tcW w:w="2160" w:type="dxa"/>
          </w:tcPr>
          <w:p w:rsidR="007155E9" w:rsidRDefault="002874A3">
            <w:pPr>
              <w:shd w:val="clear" w:color="auto" w:fill="FFFFFF"/>
              <w:spacing w:after="0" w:line="240" w:lineRule="auto"/>
              <w:jc w:val="center"/>
              <w:rPr>
                <w:rFonts w:ascii="Times New Roman" w:hAnsi="Times New Roman"/>
                <w:sz w:val="28"/>
              </w:rPr>
            </w:pPr>
            <w:r>
              <w:rPr>
                <w:rFonts w:ascii="Times New Roman" w:hAnsi="Times New Roman"/>
                <w:sz w:val="28"/>
              </w:rPr>
              <w:t>Назва території, об’єкта</w:t>
            </w:r>
          </w:p>
        </w:tc>
        <w:tc>
          <w:tcPr>
            <w:tcW w:w="7638" w:type="dxa"/>
          </w:tcPr>
          <w:p w:rsidR="007155E9" w:rsidRDefault="002874A3">
            <w:pPr>
              <w:shd w:val="clear" w:color="auto" w:fill="FFFFFF"/>
              <w:spacing w:after="0" w:line="360" w:lineRule="auto"/>
              <w:jc w:val="center"/>
              <w:rPr>
                <w:rFonts w:ascii="Times New Roman" w:hAnsi="Times New Roman"/>
                <w:sz w:val="28"/>
              </w:rPr>
            </w:pPr>
            <w:r>
              <w:rPr>
                <w:rFonts w:ascii="Times New Roman" w:hAnsi="Times New Roman"/>
                <w:sz w:val="28"/>
              </w:rPr>
              <w:t>Короткий опис території, об’єкта</w:t>
            </w:r>
          </w:p>
        </w:tc>
      </w:tr>
      <w:tr w:rsidR="007155E9">
        <w:trPr>
          <w:trHeight w:val="80"/>
        </w:trPr>
        <w:tc>
          <w:tcPr>
            <w:tcW w:w="2160" w:type="dxa"/>
          </w:tcPr>
          <w:p w:rsidR="007155E9" w:rsidRDefault="00921054">
            <w:pPr>
              <w:shd w:val="clear" w:color="auto" w:fill="FFFFFF"/>
              <w:spacing w:after="0" w:line="240" w:lineRule="auto"/>
              <w:jc w:val="both"/>
              <w:rPr>
                <w:rFonts w:ascii="Times New Roman" w:hAnsi="Times New Roman"/>
                <w:sz w:val="28"/>
              </w:rPr>
            </w:pPr>
            <w:hyperlink r:id="rId10" w:tooltip="Ботанічний сад Хмельницького національного університету" w:history="1">
              <w:r w:rsidR="002874A3">
                <w:rPr>
                  <w:rStyle w:val="af3"/>
                  <w:rFonts w:ascii="Times New Roman" w:hAnsi="Times New Roman"/>
                  <w:color w:val="auto"/>
                  <w:sz w:val="28"/>
                  <w:u w:val="none"/>
                </w:rPr>
                <w:t>Ботанічний сад Хмельницького національного університету</w:t>
              </w:r>
            </w:hyperlink>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Пам’ятка природи у м. Хмельницькому. На його території зростають квітково-декоративні рослини, дерева та кущі, які використовуються у наукових та навчальних цілях. Ботанічний сад є об’єктом природно-заповідного фонду області та ботанічним садом місцевого значення: 2, 21 гектари його території відповідно до рішення двадцять четвертої сесії Хмельницької обласної ради від 18 листопада 2009 року № 20-24/2009 охороняються законом; загальна площа становить 4,8 га. (</w:t>
            </w:r>
            <w:hyperlink r:id="rId11" w:history="1">
              <w:r>
                <w:rPr>
                  <w:rStyle w:val="af3"/>
                  <w:rFonts w:ascii="Times New Roman" w:hAnsi="Times New Roman"/>
                  <w:sz w:val="28"/>
                </w:rPr>
                <w:t>https://uk.wikipedia.org/wiki /</w:t>
              </w:r>
            </w:hyperlink>
            <w:r>
              <w:rPr>
                <w:rFonts w:ascii="Times New Roman" w:hAnsi="Times New Roman"/>
                <w:sz w:val="28"/>
              </w:rPr>
              <w:t>Ботанічний_сад_Хмельницького_національного_ ун-ту).</w:t>
            </w:r>
          </w:p>
        </w:tc>
      </w:tr>
      <w:tr w:rsidR="007155E9">
        <w:trPr>
          <w:trHeight w:val="80"/>
        </w:trPr>
        <w:tc>
          <w:tcPr>
            <w:tcW w:w="9798" w:type="dxa"/>
            <w:gridSpan w:val="2"/>
          </w:tcPr>
          <w:p w:rsidR="007155E9" w:rsidRDefault="002874A3">
            <w:pPr>
              <w:shd w:val="clear" w:color="auto" w:fill="FFFFFF"/>
              <w:spacing w:after="0" w:line="240" w:lineRule="auto"/>
              <w:jc w:val="right"/>
              <w:rPr>
                <w:rFonts w:ascii="Times New Roman" w:hAnsi="Times New Roman"/>
                <w:i/>
                <w:sz w:val="28"/>
              </w:rPr>
            </w:pPr>
            <w:r>
              <w:rPr>
                <w:rFonts w:ascii="Times New Roman" w:hAnsi="Times New Roman"/>
                <w:i/>
                <w:sz w:val="28"/>
              </w:rPr>
              <w:lastRenderedPageBreak/>
              <w:t>Продовж. табл. 1.1.</w:t>
            </w:r>
          </w:p>
        </w:tc>
      </w:tr>
      <w:tr w:rsidR="007155E9">
        <w:trPr>
          <w:trHeight w:val="80"/>
        </w:trPr>
        <w:tc>
          <w:tcPr>
            <w:tcW w:w="2160" w:type="dxa"/>
          </w:tcPr>
          <w:p w:rsidR="007155E9" w:rsidRDefault="00921054">
            <w:pPr>
              <w:shd w:val="clear" w:color="auto" w:fill="FFFFFF"/>
              <w:spacing w:after="0" w:line="240" w:lineRule="auto"/>
              <w:ind w:right="-57"/>
              <w:jc w:val="both"/>
              <w:rPr>
                <w:rFonts w:ascii="Times New Roman" w:hAnsi="Times New Roman"/>
                <w:sz w:val="28"/>
              </w:rPr>
            </w:pPr>
            <w:hyperlink r:id="rId12" w:tooltip="Дендропарк " w:history="1">
              <w:r w:rsidR="002874A3">
                <w:rPr>
                  <w:rStyle w:val="af3"/>
                  <w:rFonts w:ascii="Times New Roman" w:hAnsi="Times New Roman"/>
                  <w:color w:val="auto"/>
                  <w:sz w:val="28"/>
                  <w:u w:val="none"/>
                </w:rPr>
                <w:t>Дендропарк «Поділля» (Хмельницький)</w:t>
              </w:r>
            </w:hyperlink>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Парк-пам’ятка садово-паркового мистецтва місцевого значення в Україні. Розташований у м. Хмельницькому, у мікрорайоні Виставка, на перехресті Проспекту Миру та Старокостянтинівського шосе. Дендропарк належить до заповідного фонду Хмельницької області. Площа дендропарку становить 30,5 гектарів; перебуває на балансі комунального підприємства «Парки і сквери м. Хмельницького» (</w:t>
            </w:r>
            <w:hyperlink r:id="rId13" w:history="1">
              <w:r>
                <w:rPr>
                  <w:rStyle w:val="af3"/>
                  <w:rFonts w:ascii="Times New Roman" w:hAnsi="Times New Roman"/>
                  <w:sz w:val="28"/>
                </w:rPr>
                <w:t>https://uk.wikipedia.org/wiki_ Дендропарк_ «Поділля»</w:t>
              </w:r>
            </w:hyperlink>
            <w:r>
              <w:rPr>
                <w:rFonts w:ascii="Times New Roman" w:hAnsi="Times New Roman"/>
                <w:sz w:val="28"/>
              </w:rPr>
              <w:t>_ (Хмельницький).</w:t>
            </w:r>
          </w:p>
        </w:tc>
      </w:tr>
      <w:tr w:rsidR="007155E9">
        <w:trPr>
          <w:trHeight w:val="80"/>
        </w:trPr>
        <w:tc>
          <w:tcPr>
            <w:tcW w:w="2160" w:type="dxa"/>
          </w:tcPr>
          <w:p w:rsidR="007155E9" w:rsidRDefault="00921054">
            <w:pPr>
              <w:shd w:val="clear" w:color="auto" w:fill="FFFFFF"/>
              <w:spacing w:after="0" w:line="240" w:lineRule="auto"/>
              <w:jc w:val="both"/>
              <w:rPr>
                <w:rFonts w:ascii="Times New Roman" w:hAnsi="Times New Roman"/>
                <w:sz w:val="28"/>
              </w:rPr>
            </w:pPr>
            <w:hyperlink r:id="rId14" w:tooltip="Заріччя (парк)" w:history="1">
              <w:r w:rsidR="002874A3">
                <w:rPr>
                  <w:rStyle w:val="af3"/>
                  <w:rFonts w:ascii="Times New Roman" w:hAnsi="Times New Roman"/>
                  <w:color w:val="auto"/>
                  <w:sz w:val="28"/>
                  <w:u w:val="none"/>
                </w:rPr>
                <w:t>Заріччя (парк)</w:t>
              </w:r>
            </w:hyperlink>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Парк-пам’ятка садово-паркового мистецтва місцевого значення в Україні. Розташований у м. Хмельницькому на території мікрорайону Виставка (</w:t>
            </w:r>
            <w:hyperlink r:id="rId15" w:history="1">
              <w:r>
                <w:rPr>
                  <w:rStyle w:val="af3"/>
                  <w:rFonts w:ascii="Times New Roman" w:hAnsi="Times New Roman"/>
                  <w:sz w:val="28"/>
                </w:rPr>
                <w:t>https://uk.wikipedia</w:t>
              </w:r>
            </w:hyperlink>
            <w:r>
              <w:rPr>
                <w:rFonts w:ascii="Times New Roman" w:hAnsi="Times New Roman"/>
                <w:sz w:val="28"/>
              </w:rPr>
              <w:t>. org/wiki/_Заріччя_(парк).</w:t>
            </w:r>
          </w:p>
        </w:tc>
      </w:tr>
      <w:tr w:rsidR="007155E9">
        <w:trPr>
          <w:trHeight w:val="80"/>
        </w:trPr>
        <w:tc>
          <w:tcPr>
            <w:tcW w:w="2160" w:type="dxa"/>
          </w:tcPr>
          <w:p w:rsidR="007155E9" w:rsidRDefault="00921054">
            <w:pPr>
              <w:shd w:val="clear" w:color="auto" w:fill="FFFFFF"/>
              <w:spacing w:after="0" w:line="240" w:lineRule="auto"/>
              <w:jc w:val="both"/>
              <w:rPr>
                <w:rFonts w:ascii="Times New Roman" w:hAnsi="Times New Roman"/>
                <w:sz w:val="28"/>
              </w:rPr>
            </w:pPr>
            <w:hyperlink r:id="rId16" w:tooltip="Парк культури і відпочинку імені Михайла Чекмана" w:history="1">
              <w:r w:rsidR="002874A3">
                <w:rPr>
                  <w:rStyle w:val="af3"/>
                  <w:rFonts w:ascii="Times New Roman" w:hAnsi="Times New Roman"/>
                  <w:color w:val="auto"/>
                  <w:sz w:val="28"/>
                  <w:u w:val="none"/>
                </w:rPr>
                <w:t>Парк культури і відпочинку імені Михайла Чекмана</w:t>
              </w:r>
            </w:hyperlink>
          </w:p>
          <w:p w:rsidR="007155E9" w:rsidRDefault="007155E9">
            <w:pPr>
              <w:shd w:val="clear" w:color="auto" w:fill="FFFFFF"/>
              <w:spacing w:after="0" w:line="240" w:lineRule="auto"/>
              <w:jc w:val="both"/>
              <w:rPr>
                <w:rFonts w:ascii="Times New Roman" w:hAnsi="Times New Roman"/>
                <w:sz w:val="28"/>
              </w:rPr>
            </w:pP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Парк-пам’ятка садово-паркового мистецтва місцевого значення в Україні. Розташований у м. Хмельницькому, на правому березі Бузького водосховища. Площа парку становить 140 гектарів. На його території зростає понад 30 видів дерев та чагарників, впорядкована мережа природних і штучних каналів. При вході в парк є алея скульптур; на території парку розміщено літній театр, музична естрада, танцювальний майданчик, павільйони, атракціони, спортивні і дитячі майданчики, міні зоопарк, місця для відпочинку (</w:t>
            </w:r>
            <w:hyperlink r:id="rId17" w:history="1">
              <w:r>
                <w:rPr>
                  <w:rStyle w:val="af3"/>
                  <w:rFonts w:ascii="Times New Roman" w:hAnsi="Times New Roman"/>
                  <w:color w:val="auto"/>
                  <w:sz w:val="28"/>
                </w:rPr>
                <w:t>https://uk.wikipedia</w:t>
              </w:r>
            </w:hyperlink>
            <w:r>
              <w:rPr>
                <w:rFonts w:ascii="Times New Roman" w:hAnsi="Times New Roman"/>
                <w:sz w:val="28"/>
              </w:rPr>
              <w:t>.org/wiki/Парк_культури_і_відпочинку_ імені_Михайла_Чекмана).</w:t>
            </w:r>
          </w:p>
        </w:tc>
      </w:tr>
      <w:tr w:rsidR="007155E9">
        <w:trPr>
          <w:trHeight w:val="80"/>
        </w:trPr>
        <w:tc>
          <w:tcPr>
            <w:tcW w:w="2160" w:type="dxa"/>
          </w:tcPr>
          <w:p w:rsidR="007155E9" w:rsidRDefault="00921054">
            <w:pPr>
              <w:shd w:val="clear" w:color="auto" w:fill="FFFFFF"/>
              <w:spacing w:after="0" w:line="240" w:lineRule="auto"/>
              <w:jc w:val="both"/>
              <w:rPr>
                <w:rFonts w:ascii="Times New Roman" w:hAnsi="Times New Roman"/>
                <w:sz w:val="28"/>
              </w:rPr>
            </w:pPr>
            <w:hyperlink r:id="rId18" w:tooltip="Сквер імені Тараса Шевченка (Хмельницький)" w:history="1">
              <w:r w:rsidR="002874A3">
                <w:rPr>
                  <w:rStyle w:val="af3"/>
                  <w:rFonts w:ascii="Times New Roman" w:hAnsi="Times New Roman"/>
                  <w:color w:val="auto"/>
                  <w:sz w:val="28"/>
                  <w:u w:val="none"/>
                </w:rPr>
                <w:t>Сквер імені Тараса Шевченка (м. Хмельницький)</w:t>
              </w:r>
            </w:hyperlink>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Парк-пам’ятка садово-паркового мистецтва місцевого значення в Україні. Сквер розташований в центрі міста Хмельницького між вулицями Проскурівською, Володимирською, Героїв Майдану та Грушевського. У парку розташований пам’ятник Тарасові Шевченку, фонтани, дитячий майданчик (</w:t>
            </w:r>
            <w:hyperlink r:id="rId19" w:history="1">
              <w:r>
                <w:rPr>
                  <w:rStyle w:val="af3"/>
                  <w:rFonts w:ascii="Times New Roman" w:hAnsi="Times New Roman"/>
                  <w:color w:val="auto"/>
                  <w:sz w:val="28"/>
                </w:rPr>
                <w:t>https://uk.wikipedia.org/wiki/</w:t>
              </w:r>
            </w:hyperlink>
            <w:r>
              <w:rPr>
                <w:rFonts w:ascii="Times New Roman" w:hAnsi="Times New Roman"/>
                <w:sz w:val="28"/>
              </w:rPr>
              <w:t>Сквер_ імені_Тараса_Шевченка_(Хмельницький).</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Давидковець-кий заказник</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Лісовий заказник місцевого значення. Розташований </w:t>
            </w:r>
            <w:proofErr w:type="gramStart"/>
            <w:r>
              <w:rPr>
                <w:rFonts w:ascii="Times New Roman" w:hAnsi="Times New Roman"/>
                <w:sz w:val="28"/>
              </w:rPr>
              <w:t>у межах</w:t>
            </w:r>
            <w:proofErr w:type="gramEnd"/>
            <w:r>
              <w:rPr>
                <w:rFonts w:ascii="Times New Roman" w:hAnsi="Times New Roman"/>
                <w:sz w:val="28"/>
              </w:rPr>
              <w:t xml:space="preserve"> Хмельницької МТГ неподалік від с. Давидківці. Площа 506 га. Статус надано згідно з рішенням 2 сесії облради № 7 від 28 жовтня 1994 р. Статус надано з метою збереження лісового масиву, в якому переважають високопродуктивні насадження дуба черешчатого (</w:t>
            </w:r>
            <w:hyperlink r:id="rId20" w:history="1">
              <w:r>
                <w:rPr>
                  <w:rStyle w:val="af3"/>
                  <w:rFonts w:ascii="Times New Roman" w:hAnsi="Times New Roman"/>
                  <w:sz w:val="28"/>
                </w:rPr>
                <w:t>https://uk.wikipedia.org/wiki/</w:t>
              </w:r>
            </w:hyperlink>
            <w:r>
              <w:rPr>
                <w:rFonts w:ascii="Times New Roman" w:hAnsi="Times New Roman"/>
                <w:sz w:val="28"/>
              </w:rPr>
              <w:t xml:space="preserve"> Давидковецький_ заказник).</w:t>
            </w:r>
          </w:p>
        </w:tc>
      </w:tr>
      <w:tr w:rsidR="007155E9">
        <w:trPr>
          <w:trHeight w:val="80"/>
        </w:trPr>
        <w:tc>
          <w:tcPr>
            <w:tcW w:w="9798" w:type="dxa"/>
            <w:gridSpan w:val="2"/>
          </w:tcPr>
          <w:p w:rsidR="007155E9" w:rsidRDefault="002874A3">
            <w:pPr>
              <w:shd w:val="clear" w:color="auto" w:fill="FFFFFF"/>
              <w:spacing w:after="0" w:line="240" w:lineRule="auto"/>
              <w:jc w:val="right"/>
              <w:rPr>
                <w:rFonts w:ascii="Times New Roman" w:hAnsi="Times New Roman"/>
                <w:sz w:val="28"/>
              </w:rPr>
            </w:pPr>
            <w:r>
              <w:rPr>
                <w:rFonts w:ascii="Times New Roman" w:hAnsi="Times New Roman"/>
                <w:i/>
                <w:sz w:val="28"/>
              </w:rPr>
              <w:lastRenderedPageBreak/>
              <w:t>Продовж. табл. 1.1.</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Алея каштана кінського</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Ботанічна пам’ятка місцевого значення в Україні. Розташована в межах міста Хмельницького, вул. В’ячеслава Чорновола, 24. Площа алеї становить 0,5 га. Статус надано згідно з </w:t>
            </w:r>
            <w:proofErr w:type="gramStart"/>
            <w:r>
              <w:rPr>
                <w:rFonts w:ascii="Times New Roman" w:hAnsi="Times New Roman"/>
                <w:sz w:val="28"/>
              </w:rPr>
              <w:t>рішенням  облвиконкому</w:t>
            </w:r>
            <w:proofErr w:type="gramEnd"/>
            <w:r>
              <w:rPr>
                <w:rFonts w:ascii="Times New Roman" w:hAnsi="Times New Roman"/>
                <w:sz w:val="28"/>
              </w:rPr>
              <w:t xml:space="preserve"> № 213 від 14 липня 1977 р. Статус надано з метою збереження алеї з насадженнями каштана кінського (гіркокаштана). Довжина алеї становить понад 100 м. (</w:t>
            </w:r>
            <w:hyperlink r:id="rId21" w:history="1">
              <w:r>
                <w:rPr>
                  <w:rStyle w:val="af3"/>
                  <w:rFonts w:ascii="Times New Roman" w:hAnsi="Times New Roman"/>
                  <w:sz w:val="28"/>
                </w:rPr>
                <w:t>https://uk.wikipedia.org/wiki</w:t>
              </w:r>
            </w:hyperlink>
            <w:r>
              <w:rPr>
                <w:rFonts w:ascii="Times New Roman" w:hAnsi="Times New Roman"/>
                <w:sz w:val="28"/>
              </w:rPr>
              <w:t>/Алея_каштана _кінського _(пам’ятка_природи_Хмельницький).</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Бук червоний</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Ботанічна пам’ятка місцевого значення в Україні. Розташована в межах міста Хмельницького, вул. Героїв Майдану, 24. Площа 0,01 га. Статус надано згідно з </w:t>
            </w:r>
            <w:proofErr w:type="gramStart"/>
            <w:r>
              <w:rPr>
                <w:rFonts w:ascii="Times New Roman" w:hAnsi="Times New Roman"/>
                <w:sz w:val="28"/>
              </w:rPr>
              <w:t>рішенням  облвиконкому</w:t>
            </w:r>
            <w:proofErr w:type="gramEnd"/>
            <w:r>
              <w:rPr>
                <w:rFonts w:ascii="Times New Roman" w:hAnsi="Times New Roman"/>
                <w:sz w:val="28"/>
              </w:rPr>
              <w:t xml:space="preserve"> № 358-р від 22 жовтня 1969 р. Перебуває у віданні УЖКГ Хмельницького міськвиконкому. Статус надано з метою збереження одного вікового дерева бука червонолистої форми (</w:t>
            </w:r>
            <w:hyperlink r:id="rId22" w:history="1">
              <w:r>
                <w:rPr>
                  <w:rStyle w:val="af3"/>
                  <w:rFonts w:ascii="Times New Roman" w:hAnsi="Times New Roman"/>
                  <w:sz w:val="28"/>
                </w:rPr>
                <w:t>https://uk.wikipedia.org/wiki/Бук_ червоний_(Хмельницький,_вул._Героїв_</w:t>
              </w:r>
            </w:hyperlink>
            <w:r>
              <w:rPr>
                <w:rFonts w:ascii="Times New Roman" w:hAnsi="Times New Roman"/>
                <w:sz w:val="28"/>
              </w:rPr>
              <w:t>Майдану</w:t>
            </w:r>
            <w:r>
              <w:rPr>
                <w:rFonts w:ascii="Times New Roman" w:hAnsi="Times New Roman"/>
                <w:sz w:val="27"/>
              </w:rPr>
              <w:t>)</w:t>
            </w:r>
            <w:r>
              <w:rPr>
                <w:rFonts w:ascii="Times New Roman" w:hAnsi="Times New Roman"/>
                <w:sz w:val="28"/>
              </w:rPr>
              <w:t>.</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Бук червоний</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Ботанічна пам’ятка місцевого значення в Україні. Розташована в межах міста Хмельницького, вул. Героїв Маріуполя, 5 (біля будинку Хмельницької міської ради). Площа 0,01 га. Статус надано згідно з </w:t>
            </w:r>
            <w:proofErr w:type="gramStart"/>
            <w:r>
              <w:rPr>
                <w:rFonts w:ascii="Times New Roman" w:hAnsi="Times New Roman"/>
                <w:sz w:val="28"/>
              </w:rPr>
              <w:t>рішенням  облвиконкому</w:t>
            </w:r>
            <w:proofErr w:type="gramEnd"/>
            <w:r>
              <w:rPr>
                <w:rFonts w:ascii="Times New Roman" w:hAnsi="Times New Roman"/>
                <w:sz w:val="28"/>
              </w:rPr>
              <w:t xml:space="preserve"> № 358-р від 22 жовтня 1969 р. Перебуває у віданні УЖКГ Хмельницького міськвиконкому. Статус надано з метою збереження одного вікового дерева бука червонолистої форми.</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Горіх чорний</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Ботанічна пам’ятка місцевого значення в Україні. Розташована в межах міста Хмельницького, вул. Пилипчука, 51/1. Площа 0,02 га. Статус надано згідно з </w:t>
            </w:r>
            <w:proofErr w:type="gramStart"/>
            <w:r>
              <w:rPr>
                <w:rFonts w:ascii="Times New Roman" w:hAnsi="Times New Roman"/>
                <w:sz w:val="28"/>
              </w:rPr>
              <w:t>рішенням  облвиконкому</w:t>
            </w:r>
            <w:proofErr w:type="gramEnd"/>
            <w:r>
              <w:rPr>
                <w:rFonts w:ascii="Times New Roman" w:hAnsi="Times New Roman"/>
                <w:sz w:val="28"/>
              </w:rPr>
              <w:t xml:space="preserve"> № 213 від 14 липня 1977 р. Перебуває у віданні УЖКГ Хмельницького міськвиконкому. Статус надано з метою збереження одного вікового дерева горіха чорного (</w:t>
            </w:r>
            <w:hyperlink r:id="rId23" w:history="1">
              <w:r>
                <w:rPr>
                  <w:rStyle w:val="af3"/>
                  <w:rFonts w:ascii="Times New Roman" w:hAnsi="Times New Roman"/>
                  <w:color w:val="auto"/>
                  <w:sz w:val="28"/>
                </w:rPr>
                <w:t>https://uk.wikipedia.org/wiki/</w:t>
              </w:r>
            </w:hyperlink>
            <w:r>
              <w:rPr>
                <w:rFonts w:ascii="Times New Roman" w:hAnsi="Times New Roman"/>
                <w:sz w:val="28"/>
              </w:rPr>
              <w:t>Горіх_чорний_ (Хмельницький).</w:t>
            </w:r>
          </w:p>
        </w:tc>
      </w:tr>
      <w:tr w:rsidR="007155E9">
        <w:trPr>
          <w:trHeight w:val="80"/>
        </w:trPr>
        <w:tc>
          <w:tcPr>
            <w:tcW w:w="216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Липа звичайна</w:t>
            </w:r>
          </w:p>
        </w:tc>
        <w:tc>
          <w:tcPr>
            <w:tcW w:w="763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Ботанічна пам’ятка місцевого значення. Розташована в межах м. Хмельницького, вул. Грушевського, 64. Площа 0,02 га. Статус надано згідно з рішенням  облвиконкому № 213 від 14.07.1977 р. Статус надано з метою збереження вікового дерева липи звичайної (</w:t>
            </w:r>
            <w:hyperlink r:id="rId24" w:history="1">
              <w:r>
                <w:rPr>
                  <w:rStyle w:val="af3"/>
                  <w:rFonts w:ascii="Times New Roman" w:hAnsi="Times New Roman"/>
                  <w:sz w:val="28"/>
                </w:rPr>
                <w:t>https://uk.wikipedia.org/wiki /</w:t>
              </w:r>
            </w:hyperlink>
            <w:r>
              <w:rPr>
                <w:rFonts w:ascii="Times New Roman" w:hAnsi="Times New Roman"/>
                <w:sz w:val="28"/>
              </w:rPr>
              <w:t>Липа_звичайна _(пам’ятка_природи_Хмельницький).</w:t>
            </w:r>
          </w:p>
        </w:tc>
      </w:tr>
    </w:tbl>
    <w:p w:rsidR="007155E9" w:rsidRDefault="002874A3">
      <w:pPr>
        <w:shd w:val="clear" w:color="auto" w:fill="FFFFFF"/>
        <w:spacing w:after="0" w:line="360" w:lineRule="auto"/>
        <w:ind w:firstLine="720"/>
        <w:jc w:val="both"/>
        <w:rPr>
          <w:rFonts w:ascii="Times New Roman" w:hAnsi="Times New Roman"/>
          <w:b/>
          <w:i/>
          <w:sz w:val="28"/>
        </w:rPr>
      </w:pPr>
      <w:r>
        <w:rPr>
          <w:rFonts w:ascii="Times New Roman" w:hAnsi="Times New Roman"/>
          <w:b/>
          <w:i/>
          <w:sz w:val="28"/>
        </w:rPr>
        <w:lastRenderedPageBreak/>
        <w:t>Культурно-історичні об’єкти</w:t>
      </w:r>
      <w:r>
        <w:rPr>
          <w:rFonts w:ascii="Times New Roman" w:hAnsi="Times New Roman"/>
          <w:i/>
          <w:sz w:val="28"/>
        </w:rPr>
        <w:t xml:space="preserve"> </w:t>
      </w:r>
      <w:r>
        <w:rPr>
          <w:rFonts w:ascii="Times New Roman" w:hAnsi="Times New Roman"/>
          <w:b/>
          <w:i/>
          <w:sz w:val="28"/>
        </w:rPr>
        <w:t>Хмельницької міської територіальної громади</w:t>
      </w:r>
    </w:p>
    <w:p w:rsidR="007155E9" w:rsidRDefault="002874A3">
      <w:pPr>
        <w:shd w:val="clear" w:color="auto" w:fill="FFFFFF"/>
        <w:spacing w:after="0" w:line="360" w:lineRule="auto"/>
        <w:ind w:firstLine="720"/>
        <w:jc w:val="right"/>
        <w:rPr>
          <w:rFonts w:ascii="Times New Roman" w:hAnsi="Times New Roman"/>
          <w:i/>
          <w:sz w:val="28"/>
        </w:rPr>
      </w:pPr>
      <w:r>
        <w:rPr>
          <w:rFonts w:ascii="Times New Roman" w:hAnsi="Times New Roman"/>
          <w:i/>
          <w:sz w:val="28"/>
        </w:rPr>
        <w:t>Таблиця 1.2.</w:t>
      </w:r>
    </w:p>
    <w:p w:rsidR="007155E9" w:rsidRDefault="002874A3">
      <w:pPr>
        <w:shd w:val="clear" w:color="auto" w:fill="FFFFFF"/>
        <w:spacing w:after="0" w:line="360" w:lineRule="auto"/>
        <w:ind w:firstLine="720"/>
        <w:jc w:val="center"/>
        <w:rPr>
          <w:rFonts w:ascii="Times New Roman" w:hAnsi="Times New Roman"/>
          <w:b/>
          <w:sz w:val="28"/>
        </w:rPr>
      </w:pPr>
      <w:r>
        <w:rPr>
          <w:rFonts w:ascii="Times New Roman" w:hAnsi="Times New Roman"/>
          <w:b/>
          <w:sz w:val="28"/>
        </w:rPr>
        <w:t>Культурно-історичні об’єкти</w:t>
      </w:r>
      <w:r>
        <w:rPr>
          <w:rFonts w:ascii="Times New Roman" w:hAnsi="Times New Roman"/>
          <w:sz w:val="28"/>
        </w:rPr>
        <w:t xml:space="preserve"> </w:t>
      </w:r>
      <w:r>
        <w:rPr>
          <w:rFonts w:ascii="Times New Roman" w:hAnsi="Times New Roman"/>
          <w:b/>
          <w:sz w:val="28"/>
        </w:rPr>
        <w:t>Хмельницької міської територіальної громади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6558"/>
      </w:tblGrid>
      <w:tr w:rsidR="007155E9">
        <w:trPr>
          <w:trHeight w:val="80"/>
        </w:trPr>
        <w:tc>
          <w:tcPr>
            <w:tcW w:w="3240" w:type="dxa"/>
          </w:tcPr>
          <w:p w:rsidR="007155E9" w:rsidRDefault="002874A3">
            <w:pPr>
              <w:shd w:val="clear" w:color="auto" w:fill="FFFFFF"/>
              <w:spacing w:after="0" w:line="240" w:lineRule="auto"/>
              <w:jc w:val="center"/>
              <w:rPr>
                <w:rFonts w:ascii="Times New Roman" w:hAnsi="Times New Roman"/>
                <w:sz w:val="28"/>
              </w:rPr>
            </w:pPr>
            <w:r>
              <w:rPr>
                <w:rFonts w:ascii="Times New Roman" w:hAnsi="Times New Roman"/>
                <w:sz w:val="28"/>
              </w:rPr>
              <w:t>Назва об’єкта</w:t>
            </w:r>
          </w:p>
        </w:tc>
        <w:tc>
          <w:tcPr>
            <w:tcW w:w="6558" w:type="dxa"/>
          </w:tcPr>
          <w:p w:rsidR="007155E9" w:rsidRDefault="002874A3">
            <w:pPr>
              <w:shd w:val="clear" w:color="auto" w:fill="FFFFFF"/>
              <w:spacing w:after="0" w:line="360" w:lineRule="auto"/>
              <w:jc w:val="center"/>
              <w:rPr>
                <w:rFonts w:ascii="Times New Roman" w:hAnsi="Times New Roman"/>
                <w:sz w:val="28"/>
              </w:rPr>
            </w:pPr>
            <w:r>
              <w:rPr>
                <w:rFonts w:ascii="Times New Roman" w:hAnsi="Times New Roman"/>
                <w:sz w:val="28"/>
              </w:rPr>
              <w:t>Короткий опис об’єкта</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Пам’ятник видатному українському гетьману Богдану Хмельницькому</w:t>
            </w:r>
          </w:p>
        </w:tc>
        <w:tc>
          <w:tcPr>
            <w:tcW w:w="655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 xml:space="preserve">У місті Хмельницькому знаходиться пам’ятник видатному українському гетьману Богдану Хмельницькому. Його встановлено на честь великого полководця, прекрасного стратега й тактика, який очолив національне повстання українського народу проти польського гніту. </w:t>
            </w:r>
            <w:r>
              <w:rPr>
                <w:rFonts w:ascii="Times New Roman" w:hAnsi="Times New Roman"/>
                <w:sz w:val="28"/>
              </w:rPr>
              <w:br/>
              <w:t>(</w:t>
            </w:r>
            <w:hyperlink r:id="rId25" w:history="1">
              <w:r>
                <w:rPr>
                  <w:rStyle w:val="af3"/>
                  <w:rFonts w:ascii="Times New Roman" w:hAnsi="Times New Roman"/>
                  <w:sz w:val="28"/>
                </w:rPr>
                <w:t>https://ua.igotoworld.com/ua/poi_catalog/1263-211-historical-architectural-khmelnytskyi-oblast.htm?Page =5</w:t>
              </w:r>
            </w:hyperlink>
            <w:r>
              <w:rPr>
                <w:rFonts w:ascii="Times New Roman" w:hAnsi="Times New Roman"/>
                <w:sz w:val="28"/>
              </w:rPr>
              <w:t>).</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Пам’ятний знак на честь воїнів-односельчан</w:t>
            </w:r>
          </w:p>
        </w:tc>
        <w:tc>
          <w:tcPr>
            <w:tcW w:w="6558"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Пам’ятний знак на честь воїнів-односельчан у Хмельницькому – це пам’ять жителів про важку долю солдатів, які загинули у Другій світовій війні, захищаючи рідні землі. Пам’ятка представлена фігурою солдата, який в руках тримає каску і вінок, а на обличчі – смуток за загиблими товаришами. ( </w:t>
            </w:r>
            <w:hyperlink r:id="rId26" w:history="1">
              <w:r>
                <w:rPr>
                  <w:rStyle w:val="af3"/>
                  <w:rFonts w:ascii="Times New Roman" w:hAnsi="Times New Roman"/>
                  <w:sz w:val="28"/>
                </w:rPr>
                <w:t>https://ua.igotoworld.com/ua/poi_catalog/1263-211-historical-architectural-khmelnytskyi-oblast.htm?Page =5</w:t>
              </w:r>
            </w:hyperlink>
            <w:r>
              <w:rPr>
                <w:rFonts w:ascii="Times New Roman" w:hAnsi="Times New Roman"/>
                <w:sz w:val="28"/>
              </w:rPr>
              <w:t>).</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Палац у с. Водички</w:t>
            </w:r>
          </w:p>
        </w:tc>
        <w:tc>
          <w:tcPr>
            <w:tcW w:w="6558" w:type="dxa"/>
          </w:tcPr>
          <w:p w:rsidR="007155E9" w:rsidRDefault="002874A3">
            <w:pPr>
              <w:shd w:val="clear" w:color="auto" w:fill="FFFFFF"/>
              <w:spacing w:after="0" w:line="240" w:lineRule="auto"/>
              <w:jc w:val="both"/>
              <w:rPr>
                <w:rFonts w:ascii="Times New Roman" w:hAnsi="Times New Roman"/>
                <w:i/>
                <w:sz w:val="28"/>
              </w:rPr>
            </w:pPr>
            <w:r>
              <w:rPr>
                <w:rFonts w:ascii="Times New Roman" w:hAnsi="Times New Roman"/>
                <w:sz w:val="28"/>
              </w:rPr>
              <w:t>Мальовниче село Водички розташоване у західній частині громади. Його знають завзяті рибалки не тільки прилеглих населених пунктів, а й сіл із сусідніх районів: тут чудово ловиться короп, окунь і щука. Однак особливої уваги вартий палац у Водичках – архітектурна пам’ятка краю (https:// ua.igotoworld.com/ua/poi_catalog/1263-211-historical-architectural-khmelnytskyi-oblast.htm?page=7).</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Пам’ятник-фонтан барону Мюнхгаузену</w:t>
            </w:r>
          </w:p>
        </w:tc>
        <w:tc>
          <w:tcPr>
            <w:tcW w:w="6558" w:type="dxa"/>
          </w:tcPr>
          <w:p w:rsidR="007155E9" w:rsidRDefault="002874A3">
            <w:pPr>
              <w:pStyle w:val="af1"/>
              <w:shd w:val="clear" w:color="auto" w:fill="FFFFFF"/>
              <w:spacing w:before="0" w:beforeAutospacing="0" w:after="0" w:afterAutospacing="0"/>
              <w:jc w:val="both"/>
              <w:rPr>
                <w:sz w:val="28"/>
              </w:rPr>
            </w:pPr>
            <w:r>
              <w:rPr>
                <w:sz w:val="28"/>
              </w:rPr>
              <w:t xml:space="preserve">На території центральної частини Хмельницького, у дворі житлового масиву, є пам’ятник-фонтан барону Мюнхгаузену. Скульптура, присвячена відомому казковому персонажу, зроблена у вигляді коня та </w:t>
            </w:r>
            <w:r>
              <w:rPr>
                <w:sz w:val="28"/>
              </w:rPr>
              <w:lastRenderedPageBreak/>
              <w:t>вершника, котрий дарма намагається напоїти свою тварину (</w:t>
            </w:r>
            <w:hyperlink r:id="rId27" w:history="1">
              <w:r>
                <w:rPr>
                  <w:rStyle w:val="af3"/>
                  <w:sz w:val="28"/>
                </w:rPr>
                <w:t>https://ua.igotoworld.com/ua/</w:t>
              </w:r>
            </w:hyperlink>
            <w:r>
              <w:rPr>
                <w:sz w:val="28"/>
              </w:rPr>
              <w:t>poi_catalog/ 1263-211-historical-architectural-khmelnytskyi_oblast. htm?page =7).</w:t>
            </w:r>
          </w:p>
        </w:tc>
      </w:tr>
      <w:tr w:rsidR="007155E9">
        <w:trPr>
          <w:trHeight w:val="80"/>
        </w:trPr>
        <w:tc>
          <w:tcPr>
            <w:tcW w:w="9798" w:type="dxa"/>
            <w:gridSpan w:val="2"/>
          </w:tcPr>
          <w:p w:rsidR="007155E9" w:rsidRDefault="002874A3">
            <w:pPr>
              <w:pStyle w:val="af1"/>
              <w:shd w:val="clear" w:color="auto" w:fill="FFFFFF"/>
              <w:spacing w:before="0" w:beforeAutospacing="0" w:after="0" w:afterAutospacing="0"/>
              <w:jc w:val="right"/>
              <w:rPr>
                <w:sz w:val="28"/>
              </w:rPr>
            </w:pPr>
            <w:r>
              <w:rPr>
                <w:i/>
                <w:sz w:val="28"/>
              </w:rPr>
              <w:lastRenderedPageBreak/>
              <w:t>Продовж. табл. 1.2.</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Музей Проскурівського Підпілля</w:t>
            </w:r>
          </w:p>
        </w:tc>
        <w:tc>
          <w:tcPr>
            <w:tcW w:w="6558" w:type="dxa"/>
          </w:tcPr>
          <w:p w:rsidR="007155E9" w:rsidRDefault="002874A3">
            <w:pPr>
              <w:pStyle w:val="af1"/>
              <w:shd w:val="clear" w:color="auto" w:fill="FFFFFF"/>
              <w:spacing w:before="0" w:beforeAutospacing="0" w:after="0" w:afterAutospacing="0"/>
              <w:jc w:val="both"/>
              <w:rPr>
                <w:sz w:val="28"/>
              </w:rPr>
            </w:pPr>
            <w:r>
              <w:rPr>
                <w:sz w:val="28"/>
              </w:rPr>
              <w:t>У маленькій столітній хатинці у Хмельницькому оселився Музей Проскурівського Підпілля</w:t>
            </w:r>
            <w:r>
              <w:rPr>
                <w:i/>
                <w:sz w:val="28"/>
              </w:rPr>
              <w:t>.</w:t>
            </w:r>
            <w:r>
              <w:rPr>
                <w:sz w:val="28"/>
              </w:rPr>
              <w:t xml:space="preserve"> Заклад було створено 25 березня 1994 року, а відкриття приурочили до 50-тої річниці визволення міста Проскурова від німецько-фашистської окупації</w:t>
            </w:r>
            <w:r>
              <w:t>. (</w:t>
            </w:r>
            <w:hyperlink r:id="rId28" w:history="1">
              <w:r>
                <w:rPr>
                  <w:rStyle w:val="af3"/>
                  <w:sz w:val="28"/>
                </w:rPr>
                <w:t>https://ua.igotoworld.com/ua/poi_catalog/1263-211-historical-architectural-khmelnytskyi-oblast.htm?Page =7</w:t>
              </w:r>
            </w:hyperlink>
            <w:r>
              <w:t>).</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Обласний літературний музей у Хмельницькому </w:t>
            </w:r>
          </w:p>
        </w:tc>
        <w:tc>
          <w:tcPr>
            <w:tcW w:w="6558" w:type="dxa"/>
          </w:tcPr>
          <w:p w:rsidR="007155E9" w:rsidRDefault="002874A3">
            <w:pPr>
              <w:pStyle w:val="af1"/>
              <w:shd w:val="clear" w:color="auto" w:fill="FFFFFF"/>
              <w:spacing w:before="0" w:beforeAutospacing="0" w:after="0" w:afterAutospacing="0"/>
              <w:jc w:val="both"/>
              <w:rPr>
                <w:sz w:val="28"/>
              </w:rPr>
            </w:pPr>
            <w:r>
              <w:rPr>
                <w:sz w:val="28"/>
              </w:rPr>
              <w:t>Обласний літературний музей засновано порівняно нещодавно і функціонував як один з відділів краєзнавчого музею. Заклад засновано 1992 року</w:t>
            </w:r>
            <w:r>
              <w:t xml:space="preserve"> (</w:t>
            </w:r>
            <w:hyperlink r:id="rId29" w:history="1">
              <w:r>
                <w:rPr>
                  <w:rStyle w:val="af3"/>
                  <w:sz w:val="28"/>
                </w:rPr>
                <w:t>https://ua.igotoworld.com/ua/poi_catalog/1263-211-historical-architectural-khmelnytskyi-oblast.htm?page =7</w:t>
              </w:r>
            </w:hyperlink>
            <w:r>
              <w:t>).</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Батьківщина письменника Миколи Сумишина</w:t>
            </w:r>
          </w:p>
        </w:tc>
        <w:tc>
          <w:tcPr>
            <w:tcW w:w="6558" w:type="dxa"/>
          </w:tcPr>
          <w:p w:rsidR="007155E9" w:rsidRDefault="002874A3">
            <w:pPr>
              <w:pStyle w:val="af1"/>
              <w:shd w:val="clear" w:color="auto" w:fill="FFFFFF"/>
              <w:spacing w:before="0" w:beforeAutospacing="0" w:after="0" w:afterAutospacing="0"/>
              <w:jc w:val="both"/>
              <w:rPr>
                <w:sz w:val="28"/>
              </w:rPr>
            </w:pPr>
            <w:r>
              <w:t xml:space="preserve">Невелике українське село Водички, що у громаді, – батьківщина сучасного українського письменника, прозаїка, драматурга </w:t>
            </w:r>
            <w:r>
              <w:rPr>
                <w:i/>
              </w:rPr>
              <w:t>Миколи Сумишина</w:t>
            </w:r>
            <w:r>
              <w:t>. Красиву природу цієї місцевості відображено у його творах</w:t>
            </w:r>
            <w:r>
              <w:br/>
              <w:t>(</w:t>
            </w:r>
            <w:hyperlink r:id="rId30" w:history="1">
              <w:r>
                <w:rPr>
                  <w:rStyle w:val="af3"/>
                  <w:sz w:val="28"/>
                </w:rPr>
                <w:t>https://ua.igotoworld.com/ua/poi_catalog/1263-211-historical-architectural-khmelnytskyi-oblast.htm?page =9</w:t>
              </w:r>
            </w:hyperlink>
            <w:r>
              <w:t>).</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Хмельницький обласний краєзнавчий музей</w:t>
            </w:r>
          </w:p>
        </w:tc>
        <w:tc>
          <w:tcPr>
            <w:tcW w:w="6558" w:type="dxa"/>
          </w:tcPr>
          <w:p w:rsidR="007155E9" w:rsidRDefault="002874A3">
            <w:pPr>
              <w:pStyle w:val="af1"/>
              <w:shd w:val="clear" w:color="auto" w:fill="FFFFFF"/>
              <w:spacing w:before="0" w:beforeAutospacing="0" w:after="0" w:afterAutospacing="0"/>
              <w:jc w:val="both"/>
              <w:rPr>
                <w:sz w:val="28"/>
              </w:rPr>
            </w:pPr>
            <w:r>
              <w:rPr>
                <w:sz w:val="28"/>
              </w:rPr>
              <w:t>Хмельницький обласний краєзнавчий музей (</w:t>
            </w:r>
            <w:r>
              <w:rPr>
                <w:sz w:val="28"/>
                <w:shd w:val="clear" w:color="auto" w:fill="FFFFFF"/>
              </w:rPr>
              <w:t>вул. Подільська, 12</w:t>
            </w:r>
            <w:r>
              <w:rPr>
                <w:sz w:val="28"/>
              </w:rPr>
              <w:t xml:space="preserve">). </w:t>
            </w:r>
            <w:r>
              <w:rPr>
                <w:sz w:val="28"/>
                <w:shd w:val="clear" w:color="auto" w:fill="FFFFFF"/>
              </w:rPr>
              <w:t>Експозиції творів мистецтва, предметів побуту та вжитку, знарядь праці, палеонтологічних знахідок, зразків геологічних порід, корисних копалин, ґрунтів, представників флори та фауни Хмельниччини</w:t>
            </w:r>
            <w:r>
              <w:rPr>
                <w:sz w:val="28"/>
              </w:rPr>
              <w:t xml:space="preserve"> (https://ua. igotoworld.com/ua/poi_object/68978_hmelnickiy-oblastnoy-kraevedcheskiy-muzey. htm).</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Музей історії м. Хмельницького</w:t>
            </w:r>
          </w:p>
        </w:tc>
        <w:tc>
          <w:tcPr>
            <w:tcW w:w="6558" w:type="dxa"/>
          </w:tcPr>
          <w:p w:rsidR="007155E9" w:rsidRDefault="002874A3">
            <w:pPr>
              <w:pStyle w:val="af1"/>
              <w:shd w:val="clear" w:color="auto" w:fill="FFFFFF"/>
              <w:spacing w:before="0" w:beforeAutospacing="0" w:after="0" w:afterAutospacing="0"/>
              <w:jc w:val="both"/>
              <w:rPr>
                <w:sz w:val="28"/>
              </w:rPr>
            </w:pPr>
            <w:r>
              <w:rPr>
                <w:sz w:val="28"/>
              </w:rPr>
              <w:t>Музей історії м. Хмельницького (</w:t>
            </w:r>
            <w:r>
              <w:rPr>
                <w:sz w:val="28"/>
                <w:shd w:val="clear" w:color="auto" w:fill="FFFFFF"/>
              </w:rPr>
              <w:t>вул. Проскурівська, 30</w:t>
            </w:r>
            <w:r>
              <w:rPr>
                <w:sz w:val="28"/>
              </w:rPr>
              <w:t xml:space="preserve">). Музей </w:t>
            </w:r>
            <w:r>
              <w:rPr>
                <w:sz w:val="28"/>
                <w:shd w:val="clear" w:color="auto" w:fill="FFFFFF"/>
              </w:rPr>
              <w:t xml:space="preserve">є культурно-освітнім та науково-дослідницьким закладом, заснованим Хмельницькою міською радою 1996 року. Зали музею розповідають про часи утворення міста, його життя і побут </w:t>
            </w:r>
            <w:proofErr w:type="gramStart"/>
            <w:r>
              <w:rPr>
                <w:sz w:val="28"/>
                <w:shd w:val="clear" w:color="auto" w:fill="FFFFFF"/>
              </w:rPr>
              <w:t>у  польсько</w:t>
            </w:r>
            <w:proofErr w:type="gramEnd"/>
            <w:r>
              <w:rPr>
                <w:sz w:val="28"/>
                <w:shd w:val="clear" w:color="auto" w:fill="FFFFFF"/>
              </w:rPr>
              <w:t xml:space="preserve">-литовську добу, за часів </w:t>
            </w:r>
            <w:r>
              <w:rPr>
                <w:sz w:val="28"/>
                <w:shd w:val="clear" w:color="auto" w:fill="FFFFFF"/>
              </w:rPr>
              <w:lastRenderedPageBreak/>
              <w:t>Російської імперії, радянської України; знайомлять з його містами-побратимами. Найсвітліша і простора зала музею віддана мистецтву. Тут з успіхом проходять, змінюючи одна одну, різножанрові художні та фотовиставки, що демонструють роботи художників та аматорів міста.</w:t>
            </w:r>
          </w:p>
        </w:tc>
      </w:tr>
      <w:tr w:rsidR="007155E9">
        <w:trPr>
          <w:trHeight w:val="80"/>
        </w:trPr>
        <w:tc>
          <w:tcPr>
            <w:tcW w:w="9798" w:type="dxa"/>
            <w:gridSpan w:val="2"/>
          </w:tcPr>
          <w:p w:rsidR="007155E9" w:rsidRDefault="002874A3">
            <w:pPr>
              <w:pStyle w:val="af1"/>
              <w:shd w:val="clear" w:color="auto" w:fill="FFFFFF"/>
              <w:spacing w:before="0" w:beforeAutospacing="0" w:after="0" w:afterAutospacing="0"/>
              <w:jc w:val="right"/>
              <w:rPr>
                <w:sz w:val="28"/>
              </w:rPr>
            </w:pPr>
            <w:r>
              <w:rPr>
                <w:i/>
                <w:sz w:val="28"/>
              </w:rPr>
              <w:lastRenderedPageBreak/>
              <w:t>Продовж. табл. 1.2.</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Хмельницький обласний художній музей</w:t>
            </w:r>
          </w:p>
        </w:tc>
        <w:tc>
          <w:tcPr>
            <w:tcW w:w="6558" w:type="dxa"/>
          </w:tcPr>
          <w:p w:rsidR="007155E9" w:rsidRDefault="002874A3">
            <w:pPr>
              <w:pStyle w:val="af1"/>
              <w:shd w:val="clear" w:color="auto" w:fill="FFFFFF"/>
              <w:spacing w:before="0" w:beforeAutospacing="0" w:after="0" w:afterAutospacing="0"/>
              <w:jc w:val="both"/>
              <w:rPr>
                <w:sz w:val="28"/>
              </w:rPr>
            </w:pPr>
            <w:r>
              <w:rPr>
                <w:sz w:val="28"/>
              </w:rPr>
              <w:t>Хмельницький обласний художній музей (</w:t>
            </w:r>
            <w:r>
              <w:rPr>
                <w:sz w:val="28"/>
                <w:shd w:val="clear" w:color="auto" w:fill="FFFFFF"/>
              </w:rPr>
              <w:t>вул. Проскурівська, 47</w:t>
            </w:r>
            <w:r>
              <w:rPr>
                <w:sz w:val="28"/>
              </w:rPr>
              <w:t xml:space="preserve">). </w:t>
            </w:r>
            <w:r>
              <w:rPr>
                <w:sz w:val="28"/>
                <w:shd w:val="clear" w:color="auto" w:fill="FFFFFF"/>
              </w:rPr>
              <w:t>Комунальний заклад культури «Хмельницький обласний художній музей» – унікальна музейна інституція, яка першою поміж пострадянських музеїв за часів незалежної України завдяки ініціативі своїх співробітників обрала інновативну концепцію збірки: колекціонування, зберігання, дослідження, експонування та популяризацію сучасного українського мистецтва ХХ-ХХІ ст.</w:t>
            </w:r>
            <w:r>
              <w:rPr>
                <w:sz w:val="28"/>
              </w:rPr>
              <w:t xml:space="preserve"> </w:t>
            </w:r>
            <w:r>
              <w:rPr>
                <w:sz w:val="28"/>
                <w:shd w:val="clear" w:color="auto" w:fill="FFFFFF"/>
              </w:rPr>
              <w:t>Виставки картин сучасних українських митців.</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Культурно-просвітницький центр Реріха</w:t>
            </w:r>
          </w:p>
        </w:tc>
        <w:tc>
          <w:tcPr>
            <w:tcW w:w="6558" w:type="dxa"/>
          </w:tcPr>
          <w:p w:rsidR="007155E9" w:rsidRDefault="002874A3">
            <w:pPr>
              <w:pStyle w:val="af1"/>
              <w:shd w:val="clear" w:color="auto" w:fill="FFFFFF"/>
              <w:spacing w:before="0" w:beforeAutospacing="0" w:after="0" w:afterAutospacing="0"/>
              <w:jc w:val="both"/>
              <w:rPr>
                <w:sz w:val="28"/>
              </w:rPr>
            </w:pPr>
            <w:r>
              <w:rPr>
                <w:sz w:val="28"/>
              </w:rPr>
              <w:t>Культурно-просвітницький центр Реріха (</w:t>
            </w:r>
            <w:r>
              <w:rPr>
                <w:sz w:val="28"/>
                <w:shd w:val="clear" w:color="auto" w:fill="FFFFFF"/>
              </w:rPr>
              <w:t>вул. Подільська, 25</w:t>
            </w:r>
            <w:r>
              <w:rPr>
                <w:sz w:val="28"/>
              </w:rPr>
              <w:t xml:space="preserve">). </w:t>
            </w:r>
            <w:r>
              <w:rPr>
                <w:sz w:val="28"/>
                <w:shd w:val="clear" w:color="auto" w:fill="FFFFFF"/>
              </w:rPr>
              <w:t>Подільський культурно-просвітительский Центр імені М. К. Реріха здійснює культурно-просвітницьку діяльність, базуючись на концепції Культури, сформульованій М. К. Реріхом. Діяльність центру почалась у 1986 році, зосереджено на збереженні культурних цінностей та розвитку культури як основи процвітання суспільства.</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Хмельницький музей-студія фотомистецтва</w:t>
            </w:r>
          </w:p>
        </w:tc>
        <w:tc>
          <w:tcPr>
            <w:tcW w:w="6558" w:type="dxa"/>
          </w:tcPr>
          <w:p w:rsidR="007155E9" w:rsidRDefault="002874A3">
            <w:pPr>
              <w:pStyle w:val="af1"/>
              <w:shd w:val="clear" w:color="auto" w:fill="FFFFFF"/>
              <w:spacing w:before="0" w:beforeAutospacing="0" w:after="0" w:afterAutospacing="0"/>
              <w:jc w:val="both"/>
              <w:rPr>
                <w:sz w:val="28"/>
              </w:rPr>
            </w:pPr>
            <w:r>
              <w:rPr>
                <w:sz w:val="28"/>
              </w:rPr>
              <w:t>Хмельницький музей-студія фотомистецтва (</w:t>
            </w:r>
            <w:r>
              <w:rPr>
                <w:sz w:val="28"/>
                <w:shd w:val="clear" w:color="auto" w:fill="FFFFFF"/>
              </w:rPr>
              <w:t>вул. Проскурівська, 56</w:t>
            </w:r>
            <w:r>
              <w:rPr>
                <w:sz w:val="28"/>
              </w:rPr>
              <w:t xml:space="preserve">). </w:t>
            </w:r>
            <w:r>
              <w:rPr>
                <w:sz w:val="28"/>
                <w:shd w:val="clear" w:color="auto" w:fill="FFFFFF"/>
              </w:rPr>
              <w:t>Музей фотомистецтва є першим та єдиним в Україні. У музейних вітринах виставлено колекцію, що налічує понад 2500 експонатів (фотоапарати, об’єктиви, збільшувачі, експонометри та інше приладдя), які ілюструють розвиток фотографії та виробництва фотоапаратів за період з кінця XIX до кінця XX ст. Також, у ній представлено чимало давніх негативів, літографій, фотографій.</w:t>
            </w:r>
          </w:p>
        </w:tc>
      </w:tr>
      <w:tr w:rsidR="007155E9">
        <w:trPr>
          <w:trHeight w:val="80"/>
        </w:trPr>
        <w:tc>
          <w:tcPr>
            <w:tcW w:w="3240" w:type="dxa"/>
          </w:tcPr>
          <w:p w:rsidR="007155E9" w:rsidRDefault="002874A3">
            <w:pPr>
              <w:shd w:val="clear" w:color="auto" w:fill="FFFFFF"/>
              <w:spacing w:after="0" w:line="240" w:lineRule="auto"/>
              <w:jc w:val="both"/>
              <w:rPr>
                <w:rFonts w:ascii="Times New Roman" w:hAnsi="Times New Roman"/>
                <w:sz w:val="28"/>
              </w:rPr>
            </w:pPr>
            <w:r>
              <w:rPr>
                <w:rFonts w:ascii="Times New Roman" w:hAnsi="Times New Roman"/>
                <w:sz w:val="28"/>
              </w:rPr>
              <w:t>Музей цікавої науки «Евріка»</w:t>
            </w:r>
          </w:p>
        </w:tc>
        <w:tc>
          <w:tcPr>
            <w:tcW w:w="6558" w:type="dxa"/>
          </w:tcPr>
          <w:p w:rsidR="007155E9" w:rsidRDefault="002874A3">
            <w:pPr>
              <w:pStyle w:val="af1"/>
              <w:shd w:val="clear" w:color="auto" w:fill="FFFFFF"/>
              <w:spacing w:before="0" w:beforeAutospacing="0" w:after="0" w:afterAutospacing="0"/>
              <w:jc w:val="both"/>
              <w:rPr>
                <w:sz w:val="28"/>
              </w:rPr>
            </w:pPr>
            <w:r>
              <w:rPr>
                <w:sz w:val="28"/>
              </w:rPr>
              <w:t>Музей цікавої науки «Евріка» (</w:t>
            </w:r>
            <w:r>
              <w:rPr>
                <w:sz w:val="28"/>
                <w:shd w:val="clear" w:color="auto" w:fill="FFFFFF"/>
              </w:rPr>
              <w:t>вул. Зарічанська, 3/1</w:t>
            </w:r>
            <w:r>
              <w:rPr>
                <w:sz w:val="28"/>
              </w:rPr>
              <w:t xml:space="preserve">). </w:t>
            </w:r>
            <w:r>
              <w:rPr>
                <w:sz w:val="28"/>
                <w:shd w:val="clear" w:color="auto" w:fill="FFFFFF"/>
              </w:rPr>
              <w:t xml:space="preserve">Тут є експозиція з анатомії, безліч різноманітних ілюзій та головоломок, дзеркальний та лазерний лабіринти, акустична кімната і багато іншого. А </w:t>
            </w:r>
            <w:r>
              <w:rPr>
                <w:sz w:val="28"/>
                <w:shd w:val="clear" w:color="auto" w:fill="FFFFFF"/>
              </w:rPr>
              <w:lastRenderedPageBreak/>
              <w:t>найголовніше – жоден не схований за вітриною. Єдиний виняток – глобус, що левітує. Його помістили під скло, щоб захистити від впливу електричної кулі.</w:t>
            </w:r>
          </w:p>
        </w:tc>
      </w:tr>
    </w:tbl>
    <w:p w:rsidR="007155E9" w:rsidRDefault="007155E9">
      <w:pPr>
        <w:shd w:val="clear" w:color="auto" w:fill="FFFFFF"/>
        <w:spacing w:after="0" w:line="360" w:lineRule="auto"/>
        <w:ind w:firstLine="720"/>
        <w:jc w:val="center"/>
        <w:rPr>
          <w:rFonts w:ascii="Times New Roman" w:hAnsi="Times New Roman"/>
          <w:i/>
          <w:sz w:val="28"/>
        </w:rPr>
      </w:pP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Хмельницька область є досить </w:t>
      </w:r>
      <w:proofErr w:type="gramStart"/>
      <w:r>
        <w:rPr>
          <w:rFonts w:ascii="Times New Roman" w:hAnsi="Times New Roman"/>
          <w:sz w:val="28"/>
        </w:rPr>
        <w:t>різноманітною  в</w:t>
      </w:r>
      <w:proofErr w:type="gramEnd"/>
      <w:r>
        <w:rPr>
          <w:rFonts w:ascii="Times New Roman" w:hAnsi="Times New Roman"/>
          <w:sz w:val="28"/>
        </w:rPr>
        <w:t xml:space="preserve"> переліку туристичних об’єктів в цій області діють понад 10 санаторіїв та пансіонатів різного типу, область є однією з провідних за запасами мінеральних вод тому, що на ній розташовано багато  активних мінеральних родовищ. Серед підрозділів можна виділити основні об’єкти такі як пансіонати курортні заклади будинки відпочинку бази та табори відпочинку санаторії та профілакторії суміжні підрозділи туристичного комплексу такі як екскурсійні бюро туристичні табори туристичні комплекси та туристичні бази, а також супутні підрозділи, тобто ті що допомагають саме туристичному комплексу це: готелі, підприємства харчування, комунальні підприємства,спеціальні навчальні заклади, банківські установи, спортивні заклади, заклади культури, підприємства та громадські організації [65].</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Хмельницька область в Україні має значний туристичний потенціал завдяки своєму розташуванню, історії та природним багатствам. Серед цікавих аспектів туристичного потенціалу цієї області можна виділити:</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Історичні атракції</w:t>
      </w:r>
      <w:r>
        <w:rPr>
          <w:rFonts w:ascii="Times New Roman" w:hAnsi="Times New Roman"/>
          <w:sz w:val="28"/>
        </w:rPr>
        <w:t xml:space="preserve">: Хмельницька область має багатий історичний спадок. Місто Кам’янець-Подільський славиться своєю середньовічною архітектурою та мальовничим Замком Кам’янець-Подільським, який включений </w:t>
      </w:r>
      <w:proofErr w:type="gramStart"/>
      <w:r>
        <w:rPr>
          <w:rFonts w:ascii="Times New Roman" w:hAnsi="Times New Roman"/>
          <w:sz w:val="28"/>
        </w:rPr>
        <w:t>до списку</w:t>
      </w:r>
      <w:proofErr w:type="gramEnd"/>
      <w:r>
        <w:rPr>
          <w:rFonts w:ascii="Times New Roman" w:hAnsi="Times New Roman"/>
          <w:sz w:val="28"/>
        </w:rPr>
        <w:t xml:space="preserve"> Всесвітньої спадщини ЮНЕСКО. Хмельницька Фортеця та інші історичні об’єкти також приваблюють багатьох туристів.</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Природні краси</w:t>
      </w:r>
      <w:r>
        <w:rPr>
          <w:rFonts w:ascii="Times New Roman" w:hAnsi="Times New Roman"/>
          <w:sz w:val="28"/>
        </w:rPr>
        <w:t>: Область володіє природними красами, включаючи природні парки, заповідники та водоспади. Подільське Придністров’я – це місця, де можна насолодитися природними красами та активним відпочинком.</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lastRenderedPageBreak/>
        <w:t>Культурні події</w:t>
      </w:r>
      <w:r>
        <w:rPr>
          <w:rFonts w:ascii="Times New Roman" w:hAnsi="Times New Roman"/>
          <w:sz w:val="28"/>
        </w:rPr>
        <w:t>: Хмельницька область регулярно проводить культурні події, які включають музичні фестивалі, театральні вистави, виставки мистецтва та національні свята. Це створює можливості для туристів дізнатися більше про місцеву культуру.</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Музеї та пам’ятки</w:t>
      </w:r>
      <w:r>
        <w:rPr>
          <w:rFonts w:ascii="Times New Roman" w:hAnsi="Times New Roman"/>
          <w:sz w:val="28"/>
        </w:rPr>
        <w:t>: У області є багато музеїв, присвячених історії, мистецтву та літературі, такі як музеї Тараса Шевченка та Івана Огієнка. Пам’ятники видатним постатям, таким як Богдан Хмельницький, також приваблюють увагу.</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Кулінарні радощі</w:t>
      </w:r>
      <w:r>
        <w:rPr>
          <w:rFonts w:ascii="Times New Roman" w:hAnsi="Times New Roman"/>
          <w:sz w:val="28"/>
        </w:rPr>
        <w:t>: Туристи можуть спробувати місцеві страви та кулінарні традиції області. Це включає українську кухню, страви з місцевими інгредієнтами та страви зі східним впливом.</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Активний відпочинок</w:t>
      </w:r>
      <w:r>
        <w:rPr>
          <w:rFonts w:ascii="Times New Roman" w:hAnsi="Times New Roman"/>
          <w:sz w:val="28"/>
        </w:rPr>
        <w:t>: Область пропонує можливості для активного відпочинку, такі як піші походи, велосипедні маршрути, водні види спорту та лов спортивної риби.</w:t>
      </w:r>
    </w:p>
    <w:p w:rsidR="007155E9" w:rsidRDefault="002874A3">
      <w:pPr>
        <w:spacing w:after="0" w:line="360" w:lineRule="auto"/>
        <w:ind w:firstLine="720"/>
        <w:jc w:val="both"/>
        <w:rPr>
          <w:rFonts w:ascii="Times New Roman" w:hAnsi="Times New Roman"/>
          <w:sz w:val="28"/>
        </w:rPr>
      </w:pPr>
      <w:r>
        <w:rPr>
          <w:rFonts w:ascii="Times New Roman" w:hAnsi="Times New Roman"/>
          <w:b/>
          <w:i/>
          <w:sz w:val="28"/>
        </w:rPr>
        <w:t>Виноробні</w:t>
      </w:r>
      <w:r>
        <w:rPr>
          <w:rFonts w:ascii="Times New Roman" w:hAnsi="Times New Roman"/>
          <w:sz w:val="28"/>
        </w:rPr>
        <w:t>: Хмельницька область відома своєю виноробнею промисловістю. Тут можна відвідати виноробні та скуштувати вино власного виробництва.</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Загалом усі об’єкти розташовані у різних туристичних районах Хмельницької області цей процес відбувся через те, що виходячи з об’єктивних причин територіального поділу саме Хмельницької області було прийнято рішення про необхідність збереження екологічної рівноваги, а також правильного розвитку економіки і культури, та збереження національного утворення та ефективності прийняття управлінських рішень.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Для того щоб стабілізувати усі туристичні процеси в комплексі в основу районування було покладено наступні принципи: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lastRenderedPageBreak/>
        <w:t>Перший принцип</w:t>
      </w:r>
      <w:r>
        <w:rPr>
          <w:rFonts w:ascii="Times New Roman" w:hAnsi="Times New Roman"/>
          <w:sz w:val="28"/>
        </w:rPr>
        <w:t xml:space="preserve"> – це принцип змістовності, що дозволяє певному виду туризму об’єднатися в один цілісний процес, </w:t>
      </w:r>
      <w:proofErr w:type="gramStart"/>
      <w:r>
        <w:rPr>
          <w:rFonts w:ascii="Times New Roman" w:hAnsi="Times New Roman"/>
          <w:sz w:val="28"/>
        </w:rPr>
        <w:t>до прикладу</w:t>
      </w:r>
      <w:proofErr w:type="gramEnd"/>
      <w:r>
        <w:rPr>
          <w:rFonts w:ascii="Times New Roman" w:hAnsi="Times New Roman"/>
          <w:sz w:val="28"/>
        </w:rPr>
        <w:t xml:space="preserve"> – це може бути рекреаційний район.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Другий принцип</w:t>
      </w:r>
      <w:r>
        <w:rPr>
          <w:rFonts w:ascii="Times New Roman" w:hAnsi="Times New Roman"/>
          <w:sz w:val="28"/>
        </w:rPr>
        <w:t xml:space="preserve"> – це принцип комплексності що дозволяє налагоджувати взаємозв’язки в районі.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Третій принцип</w:t>
      </w:r>
      <w:r>
        <w:rPr>
          <w:rFonts w:ascii="Times New Roman" w:hAnsi="Times New Roman"/>
          <w:sz w:val="28"/>
        </w:rPr>
        <w:t xml:space="preserve"> системності дозволяє вводити ранжування туристичних районів. </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Четвертий принцип</w:t>
      </w:r>
      <w:r>
        <w:rPr>
          <w:rFonts w:ascii="Times New Roman" w:hAnsi="Times New Roman"/>
          <w:sz w:val="28"/>
        </w:rPr>
        <w:t xml:space="preserve"> подальшого розвитку тобто перспективності розвитку галузі у певному регіоні.</w:t>
      </w:r>
    </w:p>
    <w:p w:rsidR="007155E9" w:rsidRDefault="002874A3">
      <w:pPr>
        <w:spacing w:after="0" w:line="360" w:lineRule="auto"/>
        <w:ind w:firstLine="720"/>
        <w:jc w:val="both"/>
        <w:rPr>
          <w:rFonts w:ascii="Times New Roman" w:hAnsi="Times New Roman"/>
          <w:sz w:val="28"/>
        </w:rPr>
      </w:pPr>
      <w:r>
        <w:rPr>
          <w:rFonts w:ascii="Times New Roman" w:hAnsi="Times New Roman"/>
          <w:i/>
          <w:sz w:val="28"/>
        </w:rPr>
        <w:t>П’ятий принцип</w:t>
      </w:r>
      <w:r>
        <w:rPr>
          <w:rFonts w:ascii="Times New Roman" w:hAnsi="Times New Roman"/>
          <w:sz w:val="28"/>
        </w:rPr>
        <w:t xml:space="preserve"> динамічності, що дозволяє слідкувати за процесами та як швидко вони змінюються в взаємозв’язками між різними </w:t>
      </w:r>
      <w:proofErr w:type="gramStart"/>
      <w:r>
        <w:rPr>
          <w:rFonts w:ascii="Times New Roman" w:hAnsi="Times New Roman"/>
          <w:sz w:val="28"/>
        </w:rPr>
        <w:t>компонентами  та</w:t>
      </w:r>
      <w:proofErr w:type="gramEnd"/>
      <w:r>
        <w:rPr>
          <w:rFonts w:ascii="Times New Roman" w:hAnsi="Times New Roman"/>
          <w:sz w:val="28"/>
        </w:rPr>
        <w:t xml:space="preserve"> структурами.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Серед регіонів Хмельницького туристичного комплексу можна зазначити такі як Хмельницький, Придністровсько-Збручанський, Віньковецький та Північний. Усі ці регіони мають свої особливості [66].</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Туристичні можливості Хмельницької області в основному включають в себе природно-заповідні та історико-культурні об’єкти, які поки що не використовуються в туристичній діяльності. Ці об’єкти є потенціалом для створення нових туристичних напрямків, особливо у відношенні розвитку сільського (зеленого) туризму. Це може створити нові робочі місця і додаткові джерела доходу для територіальних громад та призвести до позитивних результатів від їхнього утворення. Багато публікацій з географії туризму розглядають це питання.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Наразі природно-заповідні та історико-культурні об’єкти Хмельницької області використовуються нерівномірно. Більшість з них зосереджена в південних районах області, хоча найбільші лісові масиви розташовані в північних районах. Це свідчить про відчутну різницю між потенціалом та фактичним </w:t>
      </w:r>
      <w:r>
        <w:rPr>
          <w:rFonts w:ascii="Times New Roman" w:hAnsi="Times New Roman"/>
          <w:sz w:val="28"/>
        </w:rPr>
        <w:lastRenderedPageBreak/>
        <w:t>використанням заповідних природних ресурсів у регіоні. На нашу думку, можливо створити туристичні заклади та маршрути на території різних природно-заповідних об’єктів у великих лісових масивах північної частини області. Це може включати екологічний, пішохідний, спортивний туризм та інші види активності для туристів.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Необхідно виділити особливе місце для розвитку комплексних туристичних маршрутів та пунктів прийому туристів, які дозволяють відвідати як природні, так і культурно-історичні цікавинки одночасно. Особливо сприятливі умови для цього існують у південних районах, де різноманітні історичні, природні та культурні пам’ятки загальнодержавного значення розташовані відносно недалеко одна від одної.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У цьому регіоні розташований єдиний лісовий масив в Хмельницькій області, який включений </w:t>
      </w:r>
      <w:proofErr w:type="gramStart"/>
      <w:r>
        <w:rPr>
          <w:rFonts w:ascii="Times New Roman" w:hAnsi="Times New Roman"/>
          <w:sz w:val="28"/>
        </w:rPr>
        <w:t>до списку</w:t>
      </w:r>
      <w:proofErr w:type="gramEnd"/>
      <w:r>
        <w:rPr>
          <w:rFonts w:ascii="Times New Roman" w:hAnsi="Times New Roman"/>
          <w:sz w:val="28"/>
        </w:rPr>
        <w:t xml:space="preserve"> об’єктів Всесвітньої спадщини ЮНЕСКО під назвою «Букові праліси Карпат та інших регіонів Європи». Цей масив є частиною найбільшого за площею національного природного парку в Україні, який відомий як «Подільські Товтри».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Доцільно не обмежуватися використанням наявної туристичної інфраструктури у місті Кам’янець-Подільський, а також активно розглядати можливість створення нових центрів туризму в сільських районах, зокрема на території національного природного парку «Подільські Товтри». Це обґрунтовано програмними документами, що передбачають розвиток цього національного парку.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Розвиток туристичного кластера в Кам’янець-Подільському районі створило можливість вивести більшу частину наявних об’єктів матеріальної культури на масовий туризм, що безперечно сприятиме активізації соціально-економічного розвитку територіальних громад у цьому регіоні. Наприклад, на території Китайгородської територіальної громади розташовані не лише об’єкти </w:t>
      </w:r>
      <w:r>
        <w:rPr>
          <w:rFonts w:ascii="Times New Roman" w:hAnsi="Times New Roman"/>
          <w:sz w:val="28"/>
        </w:rPr>
        <w:lastRenderedPageBreak/>
        <w:t>культури, а також частина ландшафтного заказника загальнодержавного значення під назвою «Совий яр». Це створює сприятливі умови для різних видів туризму, які слід використовувати для підвищення соціально-економічного розвитку цієї сільської громади [67].</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Місто Кам’янець-Подільський залишається найбільшою туристичною принадою Хмельницької області.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Загальний рейтинг Хмельницької області в Україні щодо ефективного використання культурної спадщини є дуже низьким і становить 17 місце серед 24 областей. Варто зазначити, що саме в межах Подільського регіону Хмельницька область має найбільшу кількість історико-культурних пам’яток національного значення – 247, що робить її третьою за цим показником в Україні. Але майже 90% з цих пам’яток є об’єктами архітектури, що вказує на серйозні проблеми в збереженні багатьох важливих об’єктів з історичного та археологічного погляду.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Більшість із зареєстрованих об’єктів архітектури були побудовані в період від XIV до XVIII ст., і багато з них були призначені для культових цілей. Це свідчить про великий потенціал, який може бути реалізований, особливо у сфері туризму, де відвідування історичних та культурних пам’яток є важливою складовою.</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На сьогоднішній день у сучасних публікаціях про використання пам’яток архітектури Хмельницької області більше уваги приділяється фортифікаційним спорудам. Зауважимо, що релігійне паломництво не має великого поширення в Хмельницькій області, за винятком обмеженого відвідування місць поховання релігійних лідерів хасидськими групами.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Туристичні об’єкти на території Хмельницької області поширені досить нерівномірно, що створюють іншу картину у структурі вигляду відповідних культурних надбань. Ця особливість дозволяє розвивати абсолютно різні види туризму на даній території.</w:t>
      </w: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7155E9">
      <w:pPr>
        <w:spacing w:after="0" w:line="360" w:lineRule="auto"/>
        <w:ind w:firstLine="720"/>
        <w:jc w:val="center"/>
        <w:rPr>
          <w:rFonts w:ascii="Times New Roman" w:hAnsi="Times New Roman"/>
          <w:b/>
          <w:sz w:val="28"/>
        </w:rPr>
      </w:pPr>
    </w:p>
    <w:p w:rsidR="007155E9" w:rsidRDefault="002874A3">
      <w:pPr>
        <w:spacing w:after="0" w:line="360" w:lineRule="auto"/>
        <w:ind w:firstLine="720"/>
        <w:jc w:val="center"/>
        <w:rPr>
          <w:rFonts w:ascii="Times New Roman" w:hAnsi="Times New Roman"/>
          <w:b/>
          <w:sz w:val="28"/>
        </w:rPr>
      </w:pPr>
      <w:r>
        <w:rPr>
          <w:rFonts w:ascii="Times New Roman" w:hAnsi="Times New Roman"/>
          <w:b/>
          <w:sz w:val="28"/>
        </w:rPr>
        <w:t>РОЗДІЛ 2</w:t>
      </w:r>
    </w:p>
    <w:p w:rsidR="007155E9" w:rsidRDefault="002874A3">
      <w:pPr>
        <w:spacing w:after="0" w:line="360" w:lineRule="auto"/>
        <w:ind w:firstLine="720"/>
        <w:jc w:val="center"/>
        <w:rPr>
          <w:rFonts w:ascii="Times New Roman" w:hAnsi="Times New Roman"/>
          <w:caps/>
          <w:sz w:val="28"/>
        </w:rPr>
      </w:pPr>
      <w:r>
        <w:rPr>
          <w:rFonts w:ascii="Times New Roman" w:hAnsi="Times New Roman"/>
          <w:b/>
          <w:caps/>
          <w:sz w:val="28"/>
        </w:rPr>
        <w:t xml:space="preserve">Діяльність виконавчої служби територіальної громади щодо управління </w:t>
      </w:r>
      <w:proofErr w:type="gramStart"/>
      <w:r>
        <w:rPr>
          <w:rFonts w:ascii="Times New Roman" w:hAnsi="Times New Roman"/>
          <w:b/>
          <w:caps/>
          <w:sz w:val="28"/>
        </w:rPr>
        <w:t>туристичним  комплексом</w:t>
      </w:r>
      <w:proofErr w:type="gramEnd"/>
    </w:p>
    <w:p w:rsidR="007155E9" w:rsidRDefault="007155E9">
      <w:pPr>
        <w:spacing w:after="0" w:line="360" w:lineRule="auto"/>
        <w:ind w:firstLine="720"/>
        <w:jc w:val="center"/>
        <w:rPr>
          <w:rFonts w:ascii="Times New Roman" w:hAnsi="Times New Roman"/>
          <w:b/>
          <w:caps/>
          <w:sz w:val="28"/>
        </w:rPr>
      </w:pP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lastRenderedPageBreak/>
        <w:t>2.1. Аналіз Положення про Управління культури і туризму Хмельницької міської ради: провідні напрями роботи.</w:t>
      </w:r>
    </w:p>
    <w:p w:rsidR="007155E9" w:rsidRDefault="007155E9">
      <w:pPr>
        <w:spacing w:after="0" w:line="360" w:lineRule="auto"/>
        <w:ind w:firstLine="720"/>
        <w:jc w:val="both"/>
        <w:rPr>
          <w:rFonts w:ascii="Times New Roman" w:hAnsi="Times New Roman"/>
          <w:b/>
          <w:sz w:val="28"/>
        </w:rPr>
      </w:pP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У  Положенні</w:t>
      </w:r>
      <w:proofErr w:type="gramEnd"/>
      <w:r>
        <w:rPr>
          <w:rFonts w:ascii="Times New Roman" w:hAnsi="Times New Roman"/>
          <w:sz w:val="28"/>
        </w:rPr>
        <w:t xml:space="preserve"> про Управліннями культури і туризму Хмельницької міської ради рішенням 25 сесії № 12 від 10.10.2018 р., розглянувши пропозицію Виконавчим комітетом, було враховано зміни до деяких законодавчих актів України керуючись законами України «Про охорону культурної спадщини» та «Про місцеве самоврядування в Україні» [41].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Було вирішено внести зміни та доповнення до Положення про Управління культури туризму Хмельницької міської ради доповнити пункти 1.2 доповнити розділ 3 та надати висновки щодо відповідних програм і проєктів ландшафтних архітектурних і містобудівних перетворень меліоративних шляхових земляних робіт на пам’ятках місцевого значення в зоні їх охорони, доповнити розділ 4 права управління і затвердити положення в Новій редакції, Відповідальність було покладено на для виконання заступника міського голови та управління культури і туризму Хмельницької міської ради, а контроль безпосередньо покласти на Комісію з питань охорони здоров’я гуманітарних питань соціальної політики свободи (додаток А).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Розглянувши положення у новій редакції в першому розділі було вказано, що саме управління культури і туризму є виконавчим органом міської ради, воно підзвітне </w:t>
      </w:r>
      <w:proofErr w:type="gramStart"/>
      <w:r>
        <w:rPr>
          <w:rFonts w:ascii="Times New Roman" w:hAnsi="Times New Roman"/>
          <w:sz w:val="28"/>
        </w:rPr>
        <w:t>і  підконтрольне</w:t>
      </w:r>
      <w:proofErr w:type="gramEnd"/>
      <w:r>
        <w:rPr>
          <w:rFonts w:ascii="Times New Roman" w:hAnsi="Times New Roman"/>
          <w:sz w:val="28"/>
        </w:rPr>
        <w:t xml:space="preserve"> міській раді.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Керується безпосередньо Конституцією України, </w:t>
      </w:r>
      <w:proofErr w:type="gramStart"/>
      <w:r>
        <w:rPr>
          <w:rFonts w:ascii="Times New Roman" w:hAnsi="Times New Roman"/>
          <w:sz w:val="28"/>
        </w:rPr>
        <w:t>Конвенцією  про</w:t>
      </w:r>
      <w:proofErr w:type="gramEnd"/>
      <w:r>
        <w:rPr>
          <w:rFonts w:ascii="Times New Roman" w:hAnsi="Times New Roman"/>
          <w:sz w:val="28"/>
        </w:rPr>
        <w:t xml:space="preserve"> захист прав людини і основоположних свобод європейської хартії, іншими міжнародними договорами та правовими актами це Положення забезпечує управління в межах своїх повноважень та реалізує політику і цілі у сфері управління якістю та  її функціонуванням.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 Щоб забезпечити діяльність управління та його структурних підрозділів за ним закріплюється майно, що є комунальною власністю і перебуває в оперативному користуванні управлінню підпорядковані комунальні підприємства різні установи та організації згідно з поставленим переліком до цього переліку входять: клуб Книжківці, культурно-мистецький центр «Ветеран», Центр національного виховання учнівської молоді, музей «Історії міста Хмельницького», міський будинок культури, філія музею «Історії міста Хмельницького», музей Проскурівського підпілля, дитяча школа мистецтв, централізована бібліотечна система, музей студія фотомистецтв, дитяча школа мистецтв «Райдуга», філія дитячої школи мистецтв у південно-західному мікрорайоні, дитяча музична школа №1 імені М.Мозгового, монотеатр Кут, кінотеатр імені Тараса Шевченка, академічний камерний хор, муніципальний естрадно-духовий оркестр, школа іконопису «Нікош», дитяча школа образотворчого та декоративно-прикладного мистецтва і дитячі музичні школи № 2 і 3.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До сфери діяльності управління здійснюють реалізацію державних програм розвитку культури і мистецтва та охорони культури нової спадщини і туризму відносяться культурно-мистецькі заклади підприємства установи туристичні заклади громадські та інші організації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У Положенні в розділі 1 вказано, що управління є неприбутковою організацією та утвореною і зареєстрованою </w:t>
      </w:r>
      <w:proofErr w:type="gramStart"/>
      <w:r>
        <w:rPr>
          <w:rFonts w:ascii="Times New Roman" w:hAnsi="Times New Roman"/>
          <w:sz w:val="28"/>
        </w:rPr>
        <w:t>в порядку</w:t>
      </w:r>
      <w:proofErr w:type="gramEnd"/>
      <w:r>
        <w:rPr>
          <w:rFonts w:ascii="Times New Roman" w:hAnsi="Times New Roman"/>
          <w:sz w:val="28"/>
        </w:rPr>
        <w:t xml:space="preserve"> визначеному Законом України «Про місцеве самоврядування в Україні», доходи управління використовується виключно для фінансування видатків і утримання для реалізації завдань управління розподіл отриманих доходів та їх частин між засновником та працівниками та іншим пов’язаним з ними особи суворо заборонено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 Розділ другий у Положенні висвітлює завдання управління. До </w:t>
      </w:r>
      <w:proofErr w:type="gramStart"/>
      <w:r>
        <w:rPr>
          <w:rFonts w:ascii="Times New Roman" w:hAnsi="Times New Roman"/>
          <w:sz w:val="28"/>
        </w:rPr>
        <w:t>основних  відноситься</w:t>
      </w:r>
      <w:proofErr w:type="gramEnd"/>
      <w:r>
        <w:rPr>
          <w:rFonts w:ascii="Times New Roman" w:hAnsi="Times New Roman"/>
          <w:sz w:val="28"/>
        </w:rPr>
        <w:t xml:space="preserve"> [41]:</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 Здійснення на території міста контролю за виконанням Закону України «Про охорону культурної спадщини» та інших нормативно-правових </w:t>
      </w:r>
      <w:proofErr w:type="gramStart"/>
      <w:r>
        <w:rPr>
          <w:rFonts w:ascii="Times New Roman" w:hAnsi="Times New Roman"/>
          <w:sz w:val="28"/>
        </w:rPr>
        <w:t>актів  у</w:t>
      </w:r>
      <w:proofErr w:type="gramEnd"/>
      <w:r>
        <w:rPr>
          <w:rFonts w:ascii="Times New Roman" w:hAnsi="Times New Roman"/>
          <w:sz w:val="28"/>
        </w:rPr>
        <w:t xml:space="preserve"> цій сфері.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2.  Забезпечення реалізації охорони культурної спадщини і туризму та забезпечення державної політики у її формуванні та обранні основних </w:t>
      </w:r>
      <w:proofErr w:type="gramStart"/>
      <w:r>
        <w:rPr>
          <w:rFonts w:ascii="Times New Roman" w:hAnsi="Times New Roman"/>
          <w:sz w:val="28"/>
        </w:rPr>
        <w:t>напрямів,  їх</w:t>
      </w:r>
      <w:proofErr w:type="gramEnd"/>
      <w:r>
        <w:rPr>
          <w:rFonts w:ascii="Times New Roman" w:hAnsi="Times New Roman"/>
          <w:sz w:val="28"/>
        </w:rPr>
        <w:t xml:space="preserve"> реалізація з урахуванням соціокультурного простору міста.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3. Створення сприятливих умов для розвитку культурно-мистецьких процесів та усіх доступних видів культурних послуг та діяльності для кожного громадянина. Забезпечення умов для різнобічного та гармонійного розвитку дітей, молоді, проведення різних культурних мистецьких заходів, конкурсів майстер-класів концертів фестивалів заходів для участі талановитих дітей та молоді в обласних міжнародних Всеукраїнських конференціях виставках фестивалях.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4. Сприяння захисту прав професійних творчих працівників, їх спілок, працівників соціального захисту організації та закладів у сфері туризму та культури, а також споживачів туристичного і культурного продукту.  Також у розділі наголошено про розширення міжрегіонального та міжнародного співробітництва у сфері туризму збереження нематеріальної культурної спадщини традиційної культури, мови, діалектів, фольклору, традицій, обрядів, звичок, говірок, сприйняття туристичного бізнесу в напрямі його розвитку як внутрішнього так іноземного залучення молоді та дітей </w:t>
      </w:r>
      <w:proofErr w:type="gramStart"/>
      <w:r>
        <w:rPr>
          <w:rFonts w:ascii="Times New Roman" w:hAnsi="Times New Roman"/>
          <w:sz w:val="28"/>
        </w:rPr>
        <w:t>до туризму</w:t>
      </w:r>
      <w:proofErr w:type="gramEnd"/>
      <w:r>
        <w:rPr>
          <w:rFonts w:ascii="Times New Roman" w:hAnsi="Times New Roman"/>
          <w:sz w:val="28"/>
        </w:rPr>
        <w:t xml:space="preserve"> і популяризацію самобутньо туристичного продукту.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Отже можна дійти висновку, що саме в розділі 2 завдання і управління було чітко вказано, що потрібно підтримувати розвиток не тільки внутрішнього </w:t>
      </w:r>
      <w:r>
        <w:rPr>
          <w:rFonts w:ascii="Times New Roman" w:hAnsi="Times New Roman"/>
          <w:sz w:val="28"/>
        </w:rPr>
        <w:lastRenderedPageBreak/>
        <w:t xml:space="preserve">туризму, а й налаштовувати його на іноземних споживачів. Також вказано як потрібно налаштувати механізм розвитку сфери туризму та культури.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Щодо повноваження управління то саме, відповідно до покладених завдань, воно створює умови для розвитку всіх видів професійного аматорського мистецтва для організації культурного дозвілля населення здобуття початкової мистецької освіти та розвиток аматорського мистецтва.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Також вказано про розвиток інфраструктури відео, кіно, мережі кіно та відео про карту монтажу внутрішнього та іноземного туризму, впровадження екскурсійної діяльності, утворення нових екскурсійних маршрутів, інвестування у реконструкцію старих діючих об’єктів, забезпечення соціальної та ринкової інфраструктури, підвищення її матеріально-технічного забезпечення.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Саме ці повноваження можуть сприяти формуванню різного репертуару кінотеатрів, концертних організацій і мистецьких колективів, допоможуть при оновленні фонду музеїв, картинних галерей, доповнять бібліотеки, створять та  організують виставки, розповсюдять кращі зразки кіномистецтва, сприяють відродженню народних художніх промислів та допоможуть у збереженні культурної спадщини, популяризують справу охорони культурної спадщини та організують видавничу діяльність у цій сфері, активізує діяльність творчих спілок, громадських організацій, національно-культурних товариств, що функціонують всередині сфери культури і туризму та допоможуть соціальному захисту працівників підприємств,  установ і організації у цій сфері.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Саме управління вносить пропозиції щодо проведення робіт з реставрації, музеєфікації, реабілітації пристосування об’єктів до культурної спадщини, організація охоронних заходів саме щодо пам’яток місцевого значення у разі їх пошкодження чи руйнування, укладання охоронних договорів на пам’ятки в межах повноважень, що були делеговані органом охорони культури і спадщини відповідно до Закону України «Про охорону культурної спадщини», значення </w:t>
      </w:r>
      <w:r>
        <w:rPr>
          <w:rFonts w:ascii="Times New Roman" w:hAnsi="Times New Roman"/>
          <w:sz w:val="28"/>
        </w:rPr>
        <w:lastRenderedPageBreak/>
        <w:t xml:space="preserve">талановитої молоді, дітей, митців, аматорів народного мистецтва, що будуть відзначені відповідними преміями, стипендіями, грамотами, подяками і відзнаками.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Управління культури і туризму бере участь у розробці багатьох проєктів, статутів закладів мистецтв позашкільної мистецької освіти, культури, розробляють проєкти соціально-економічного розвитку регіональних та міських програм, державних цільових програм, реалізують всеукраїнські культурно-мистецькі </w:t>
      </w:r>
      <w:proofErr w:type="gramStart"/>
      <w:r>
        <w:rPr>
          <w:rFonts w:ascii="Times New Roman" w:hAnsi="Times New Roman"/>
          <w:sz w:val="28"/>
        </w:rPr>
        <w:t>проєкти,  проводять</w:t>
      </w:r>
      <w:proofErr w:type="gramEnd"/>
      <w:r>
        <w:rPr>
          <w:rFonts w:ascii="Times New Roman" w:hAnsi="Times New Roman"/>
          <w:sz w:val="28"/>
        </w:rPr>
        <w:t xml:space="preserve"> різні фестивалі, конкурси, конференції. Одним із його головних завдань є координація діяльності установ комунальних підприємств у цій сфері, здійснення багатьох заходів безпосередньо перепідготовки та підвищення кваліфікації працівників та посилення ролі бібліотек як інформаційних центрів, щоразу поліпшувати їх інформативність та зручність для використання, здійснювати контроль за бюджетом, що виділено законодавством підпорядкованим установам та закладам, розробляти план на наступні два бюджетних періоди, забезпечувати складання кошторису та бюджетного запиту і подавати їх фінансовому управлінню, отримувати бюджетні призначення відповідно до того як вирішить міська рада, правильно їх розподіляти і доводити в встановленому порядку той обсяг бюджету, який було вказано до розпорядників нижчого рівня та одержувачів коштів, збирати та оброблювати статистичні дані, які забезпечують контроль за достовірністю діяльності в закладів культури,  потреби у  кваліфікованих кадрах,  укладати договори та взаємодіяти з громадськими організаціями, здійснювати контроль за ефективністю використання різних культурно-мистецьких об’єктів, які є в підпорядкуванні, також розробляти положення про персональні стипендії для творчої молоді, обдарованих дітей, викладачів, працівників культури для їх підтримки та розвитку їх творчих здібностей.  Щодо бюджетних надходжень управління бере на себе всі бюджетні зобов’язання, також забезпечує організацію </w:t>
      </w:r>
      <w:r>
        <w:rPr>
          <w:rFonts w:ascii="Times New Roman" w:hAnsi="Times New Roman"/>
          <w:sz w:val="28"/>
        </w:rPr>
        <w:lastRenderedPageBreak/>
        <w:t xml:space="preserve">та ведення централізованого бухгалтерського обліку підпорядкованих закладів, складає бюджетні фінансової звітності </w:t>
      </w:r>
      <w:proofErr w:type="gramStart"/>
      <w:r>
        <w:rPr>
          <w:rFonts w:ascii="Times New Roman" w:hAnsi="Times New Roman"/>
          <w:sz w:val="28"/>
        </w:rPr>
        <w:t>у порядку</w:t>
      </w:r>
      <w:proofErr w:type="gramEnd"/>
      <w:r>
        <w:rPr>
          <w:rFonts w:ascii="Times New Roman" w:hAnsi="Times New Roman"/>
          <w:sz w:val="28"/>
        </w:rPr>
        <w:t xml:space="preserve"> встановленому законодавством [41].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Обов’язковим є контроль роботи щодо виявлення пам’яток культурної спадщини, їх паспортизації, встановлення режиму і порядку використання, популяризації і оформлення їх відповідно стандартам туристичний об’єкту.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Управління має сприяти розвитку підприємства та залучення інвестицій у сфері культури і туризму, надавати їм допомогу як консультаційну, так і методичну, розглядати звернення та листи громадян юридичних та фізичних осіб саме підприємців, які належать до його компетенції, вирішувати питання скарг.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Управління культури і туризмом погоджує при затвердженні реєстрації у відповідному порядку статути, положення підприємств закладів культури і мистецтва, що підпорядковуються управлінню, надання послуг у сфері відпочинку на території міста, погоджує призначення за поданням керівників закладів культури, виконує функції відповідно до покладених на нього завдань.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Управління має право отримувати документи, матеріали, інформацію, яка необхідна для виконання покладених для нього завдань від органів виконавчої влади, департаментів міської ради, управлінь і підприємств, установ та організацій, також проведення конференції, семінарів з питань, що відносяться до його компетенції, залучати працівників органів виконавчої влади різних відділів, департаментів, управлінь міської ради, підприємств, організацій, установ за погодженням безпосередньо керівників до розгляду питань відповідно  до його компетенцій, готувати проєкти, що допоможуть в питаннях компетеції управління та укладати угоди про співробітництво та встановлювати прямі зв’язки із закладами мистецтва та культури, туристичної інфраструктури зарубіжних країн, міжнародними організаціями, фондами.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 У розділі п’ятому висвітлюється питання про керівництво управлінням культури і туризму Хмельницької міської ради, його очолює начальник управління, він призначається та звільняється з посади міським головою відповідно </w:t>
      </w:r>
      <w:proofErr w:type="gramStart"/>
      <w:r>
        <w:rPr>
          <w:rFonts w:ascii="Times New Roman" w:hAnsi="Times New Roman"/>
          <w:sz w:val="28"/>
        </w:rPr>
        <w:t>до закону</w:t>
      </w:r>
      <w:proofErr w:type="gramEnd"/>
      <w:r>
        <w:rPr>
          <w:rFonts w:ascii="Times New Roman" w:hAnsi="Times New Roman"/>
          <w:sz w:val="28"/>
        </w:rPr>
        <w:t xml:space="preserve"> «Про місцеве самоврядування в Україні» [41].</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Припинення діяльності управління може бути тільки у встановленому чинним законодавством, порядку міською радою. У разі припинення управління, тобто його ліквідації, злиття, поділу чи приєднання, його активи мають бути передані одній або кільком неприбутковим організаціям подібного виду або зараховані </w:t>
      </w:r>
      <w:proofErr w:type="gramStart"/>
      <w:r>
        <w:rPr>
          <w:rFonts w:ascii="Times New Roman" w:hAnsi="Times New Roman"/>
          <w:sz w:val="28"/>
        </w:rPr>
        <w:t>до доходу</w:t>
      </w:r>
      <w:proofErr w:type="gramEnd"/>
      <w:r>
        <w:rPr>
          <w:rFonts w:ascii="Times New Roman" w:hAnsi="Times New Roman"/>
          <w:sz w:val="28"/>
        </w:rPr>
        <w:t xml:space="preserve"> бюджету міста. Зміни до положення про управління відповідно до діючого законодавства вносяться на </w:t>
      </w:r>
      <w:proofErr w:type="gramStart"/>
      <w:r>
        <w:rPr>
          <w:rFonts w:ascii="Times New Roman" w:hAnsi="Times New Roman"/>
          <w:sz w:val="28"/>
        </w:rPr>
        <w:t>підставі  рішення</w:t>
      </w:r>
      <w:proofErr w:type="gramEnd"/>
      <w:r>
        <w:rPr>
          <w:rFonts w:ascii="Times New Roman" w:hAnsi="Times New Roman"/>
          <w:sz w:val="28"/>
        </w:rPr>
        <w:t xml:space="preserve"> сесії міської ради.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Отже проаналізувавши Положення про Управління культури і туризму Хмельницької міської ради у новій редакції можна виділити, що на даний момент воно є актуальним і досить дієвим в управлінні туристичного комплексу Хмельниччини. Проаналізовано за якими нормативно-правовими документами здійснюється контрольна діяльність над туристичними об’єктами, як побудовано керівництво управлінням, його мета, цілі і завдання та яким повноваженням воно підпорядковується.</w:t>
      </w:r>
    </w:p>
    <w:p w:rsidR="007155E9" w:rsidRDefault="007155E9">
      <w:pPr>
        <w:spacing w:after="0" w:line="360" w:lineRule="auto"/>
        <w:ind w:firstLine="720"/>
        <w:jc w:val="both"/>
        <w:rPr>
          <w:rFonts w:ascii="Times New Roman" w:hAnsi="Times New Roman"/>
          <w:b/>
          <w:sz w:val="28"/>
        </w:rPr>
      </w:pPr>
    </w:p>
    <w:p w:rsidR="007155E9" w:rsidRDefault="002874A3">
      <w:pPr>
        <w:spacing w:after="0" w:line="360" w:lineRule="auto"/>
        <w:ind w:firstLine="720"/>
        <w:jc w:val="both"/>
        <w:rPr>
          <w:rFonts w:ascii="Times New Roman" w:hAnsi="Times New Roman"/>
          <w:sz w:val="28"/>
        </w:rPr>
      </w:pPr>
      <w:r>
        <w:rPr>
          <w:rFonts w:ascii="Times New Roman" w:hAnsi="Times New Roman"/>
          <w:b/>
          <w:sz w:val="28"/>
        </w:rPr>
        <w:t>2.2. Управлінська діяльність, характер посадових обов’язків працівників Управління культури і туризму Хмельницької міської ради.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Управлінська діяльність працівників в управлінні культури і туризму характеризуються посадовими інструкціями, які розробляються згідно чинного законодавства та на основі посадових зобов’язань.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Посадові обов’язки працівників управління туризму і культури можуть змінюватися в залежності від конкретного органу або організації, а також від їх </w:t>
      </w:r>
      <w:r>
        <w:rPr>
          <w:rFonts w:ascii="Times New Roman" w:hAnsi="Times New Roman"/>
          <w:sz w:val="28"/>
        </w:rPr>
        <w:lastRenderedPageBreak/>
        <w:t>ролі та функцій у відповідному місці. Однак основні функції та обов’язки таких працівників можуть включати таке [41]:</w:t>
      </w:r>
    </w:p>
    <w:p w:rsidR="007155E9" w:rsidRDefault="002874A3">
      <w:pPr>
        <w:numPr>
          <w:ilvl w:val="0"/>
          <w:numId w:val="13"/>
        </w:numPr>
        <w:tabs>
          <w:tab w:val="left" w:pos="1080"/>
        </w:tabs>
        <w:spacing w:after="0" w:line="360" w:lineRule="auto"/>
        <w:ind w:left="0" w:firstLine="720"/>
        <w:jc w:val="both"/>
        <w:rPr>
          <w:rFonts w:ascii="Times New Roman" w:hAnsi="Times New Roman"/>
          <w:sz w:val="28"/>
        </w:rPr>
      </w:pPr>
      <w:r>
        <w:rPr>
          <w:rFonts w:ascii="Times New Roman" w:hAnsi="Times New Roman"/>
          <w:sz w:val="28"/>
        </w:rPr>
        <w:t>Розробка та реалізація стратегій розвитку туризму та культури: вони мають розробляти плани та програми для просування туристичних та культурних ініціатив у відповідній області чи місті.</w:t>
      </w:r>
    </w:p>
    <w:p w:rsidR="007155E9" w:rsidRDefault="002874A3">
      <w:pPr>
        <w:numPr>
          <w:ilvl w:val="0"/>
          <w:numId w:val="13"/>
        </w:numPr>
        <w:tabs>
          <w:tab w:val="left" w:pos="285"/>
          <w:tab w:val="left" w:pos="1080"/>
        </w:tabs>
        <w:spacing w:after="0" w:line="360" w:lineRule="auto"/>
        <w:ind w:left="0" w:firstLine="720"/>
        <w:jc w:val="both"/>
        <w:rPr>
          <w:rFonts w:ascii="Times New Roman" w:hAnsi="Times New Roman"/>
          <w:sz w:val="28"/>
        </w:rPr>
      </w:pPr>
      <w:r>
        <w:rPr>
          <w:rFonts w:ascii="Times New Roman" w:hAnsi="Times New Roman"/>
          <w:sz w:val="28"/>
        </w:rPr>
        <w:t>Продовження туристичних продуктів: це може включати в себе розробку рекламних кампаній, створення туристичних інформаційних матеріалів і співпрацю з готелями, ресторанами та іншими туристичними підприємствами.</w:t>
      </w:r>
    </w:p>
    <w:p w:rsidR="007155E9" w:rsidRDefault="002874A3">
      <w:pPr>
        <w:numPr>
          <w:ilvl w:val="0"/>
          <w:numId w:val="13"/>
        </w:numPr>
        <w:tabs>
          <w:tab w:val="left" w:pos="1080"/>
        </w:tabs>
        <w:spacing w:after="0" w:line="360" w:lineRule="auto"/>
        <w:ind w:left="0" w:firstLine="720"/>
        <w:jc w:val="both"/>
        <w:rPr>
          <w:rFonts w:ascii="Times New Roman" w:hAnsi="Times New Roman"/>
          <w:sz w:val="28"/>
        </w:rPr>
      </w:pPr>
      <w:r>
        <w:rPr>
          <w:rFonts w:ascii="Times New Roman" w:hAnsi="Times New Roman"/>
          <w:sz w:val="28"/>
        </w:rPr>
        <w:t>Організація культурних подій і фестивалів: працівники управління туризму і культури можуть бути відповідальними за організацію та координацію культурних подій та фестивалів в місті чи області.</w:t>
      </w:r>
    </w:p>
    <w:p w:rsidR="007155E9" w:rsidRDefault="002874A3">
      <w:pPr>
        <w:numPr>
          <w:ilvl w:val="0"/>
          <w:numId w:val="13"/>
        </w:numPr>
        <w:tabs>
          <w:tab w:val="left" w:pos="1080"/>
        </w:tabs>
        <w:spacing w:after="0" w:line="360" w:lineRule="auto"/>
        <w:ind w:left="0" w:firstLine="720"/>
        <w:jc w:val="both"/>
        <w:rPr>
          <w:rFonts w:ascii="Times New Roman" w:hAnsi="Times New Roman"/>
          <w:sz w:val="28"/>
        </w:rPr>
      </w:pPr>
      <w:r>
        <w:rPr>
          <w:rFonts w:ascii="Times New Roman" w:hAnsi="Times New Roman"/>
          <w:sz w:val="28"/>
        </w:rPr>
        <w:t>Підтримка культурних установ: це може включати в себе надання фінансової підтримки музеям, галереям, театрам та іншим культурним установам.</w:t>
      </w:r>
    </w:p>
    <w:p w:rsidR="007155E9" w:rsidRDefault="002874A3">
      <w:pPr>
        <w:numPr>
          <w:ilvl w:val="0"/>
          <w:numId w:val="13"/>
        </w:numPr>
        <w:tabs>
          <w:tab w:val="left" w:pos="420"/>
          <w:tab w:val="left" w:pos="1080"/>
        </w:tabs>
        <w:spacing w:after="0" w:line="360" w:lineRule="auto"/>
        <w:ind w:left="0" w:firstLine="720"/>
        <w:jc w:val="both"/>
        <w:rPr>
          <w:rFonts w:ascii="Times New Roman" w:hAnsi="Times New Roman"/>
          <w:sz w:val="28"/>
        </w:rPr>
      </w:pPr>
      <w:r>
        <w:rPr>
          <w:rFonts w:ascii="Times New Roman" w:hAnsi="Times New Roman"/>
          <w:sz w:val="28"/>
        </w:rPr>
        <w:t>Робота з туристичними агентами та гідами: продуктивний контакт із туристичними агентами, гідами та іншими гравцями туристичної індустрії може бути частиною обов’язків, щоб сприяти привабленню туристів.</w:t>
      </w:r>
    </w:p>
    <w:p w:rsidR="007155E9" w:rsidRDefault="002874A3">
      <w:pPr>
        <w:numPr>
          <w:ilvl w:val="0"/>
          <w:numId w:val="13"/>
        </w:numPr>
        <w:tabs>
          <w:tab w:val="left" w:pos="420"/>
          <w:tab w:val="left" w:pos="1080"/>
        </w:tabs>
        <w:spacing w:after="0" w:line="360" w:lineRule="auto"/>
        <w:ind w:left="0" w:firstLine="720"/>
        <w:jc w:val="both"/>
        <w:rPr>
          <w:rFonts w:ascii="Times New Roman" w:hAnsi="Times New Roman"/>
          <w:sz w:val="28"/>
        </w:rPr>
      </w:pPr>
      <w:r>
        <w:rPr>
          <w:rFonts w:ascii="Times New Roman" w:hAnsi="Times New Roman"/>
          <w:sz w:val="28"/>
        </w:rPr>
        <w:t>Залучення фінансування та грантів: професіонали у цій галузі можуть займатися пошуком джерел фінансування для туристичних та культурних проектів та ініціатив.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7. Моніторинг і звітність: вони також можуть бути відповідальні за збір даних, аналіз туристичних та культурних трендів та підготовку звітів для владних органів та громадськості.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Відповідно до Положення про</w:t>
      </w:r>
      <w:r>
        <w:rPr>
          <w:rFonts w:ascii="Times New Roman" w:hAnsi="Times New Roman"/>
          <w:b/>
          <w:color w:val="252B33"/>
          <w:sz w:val="28"/>
        </w:rPr>
        <w:t xml:space="preserve"> </w:t>
      </w:r>
      <w:r>
        <w:rPr>
          <w:rFonts w:ascii="Times New Roman" w:hAnsi="Times New Roman"/>
          <w:sz w:val="28"/>
        </w:rPr>
        <w:t xml:space="preserve">«Управління культури і туризму Хмельницької міської ради» розділу 5 начальник управління має заступника, який призначається ним на посаду та </w:t>
      </w:r>
      <w:proofErr w:type="gramStart"/>
      <w:r>
        <w:rPr>
          <w:rFonts w:ascii="Times New Roman" w:hAnsi="Times New Roman"/>
          <w:sz w:val="28"/>
        </w:rPr>
        <w:t>звільняється  за</w:t>
      </w:r>
      <w:proofErr w:type="gramEnd"/>
      <w:r>
        <w:rPr>
          <w:rFonts w:ascii="Times New Roman" w:hAnsi="Times New Roman"/>
          <w:sz w:val="28"/>
        </w:rPr>
        <w:t xml:space="preserve"> його поданням відповідно до Закону України «Про місцеве самоврядування в Україні». Структура </w:t>
      </w:r>
      <w:r>
        <w:rPr>
          <w:rFonts w:ascii="Times New Roman" w:hAnsi="Times New Roman"/>
          <w:sz w:val="28"/>
        </w:rPr>
        <w:lastRenderedPageBreak/>
        <w:t>управління включає в себе сектор охорони культурної спадщини і туризму, який керується завідувачем як структурним підрозділом.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При здійсненні управлінської діяльності управління має централізовану бухгалтерію закладів культури міської територіальної громади, працівники якої назначаються і звільняються начальником управління.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Права та обов’язки начальника управління включають [41]:</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Керівництво діяльністю Управління, включаючи відповідальність за виконання завдань, розподіл обов’язків та визначення ступеня відповідальності працівників.</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 xml:space="preserve">Видання наказів </w:t>
      </w:r>
      <w:proofErr w:type="gramStart"/>
      <w:r>
        <w:rPr>
          <w:rFonts w:ascii="Times New Roman" w:hAnsi="Times New Roman"/>
          <w:sz w:val="28"/>
        </w:rPr>
        <w:t>у межах</w:t>
      </w:r>
      <w:proofErr w:type="gramEnd"/>
      <w:r>
        <w:rPr>
          <w:rFonts w:ascii="Times New Roman" w:hAnsi="Times New Roman"/>
          <w:sz w:val="28"/>
        </w:rPr>
        <w:t xml:space="preserve"> повноважень, організація та контроль за їх виконанням.</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Затвердження бюджетів розпорядників коштів на нижчому рівні та оцінка ефективності бюджетних програм.</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Ведення внутрішнього контролю за фінансами та бюджетними зобов’язаннями.</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Організація бухгалтерського обліку та звітності відповідно до законодавства.</w:t>
      </w:r>
    </w:p>
    <w:p w:rsidR="007155E9" w:rsidRDefault="002874A3">
      <w:pPr>
        <w:numPr>
          <w:ilvl w:val="0"/>
          <w:numId w:val="8"/>
        </w:numPr>
        <w:tabs>
          <w:tab w:val="left" w:pos="1080"/>
        </w:tabs>
        <w:spacing w:after="0" w:line="360" w:lineRule="auto"/>
        <w:ind w:left="0" w:firstLine="720"/>
        <w:jc w:val="both"/>
        <w:rPr>
          <w:rFonts w:ascii="Times New Roman" w:hAnsi="Times New Roman"/>
          <w:sz w:val="28"/>
        </w:rPr>
      </w:pPr>
      <w:r>
        <w:rPr>
          <w:rFonts w:ascii="Times New Roman" w:hAnsi="Times New Roman"/>
          <w:sz w:val="28"/>
        </w:rPr>
        <w:t>Затвердження планів роботи, положень про структурний підрозділ та централізованої бухгалтерії закладів культури міської територіальної громади та штатних розписів підпорядкованих установ.</w:t>
      </w:r>
    </w:p>
    <w:p w:rsidR="007155E9" w:rsidRDefault="002874A3">
      <w:pPr>
        <w:numPr>
          <w:ilvl w:val="0"/>
          <w:numId w:val="8"/>
        </w:numPr>
        <w:tabs>
          <w:tab w:val="left" w:pos="900"/>
        </w:tabs>
        <w:spacing w:after="0" w:line="360" w:lineRule="auto"/>
        <w:ind w:left="0" w:firstLine="720"/>
        <w:jc w:val="both"/>
        <w:rPr>
          <w:rFonts w:ascii="Times New Roman" w:hAnsi="Times New Roman"/>
          <w:sz w:val="28"/>
        </w:rPr>
      </w:pPr>
      <w:r>
        <w:rPr>
          <w:rFonts w:ascii="Times New Roman" w:hAnsi="Times New Roman"/>
          <w:sz w:val="28"/>
        </w:rPr>
        <w:t>Подання рекомендацій міському голові щодо заохочення або притягнення до дисциплінарної відповідальності працівників та керівників установ.</w:t>
      </w:r>
    </w:p>
    <w:p w:rsidR="007155E9" w:rsidRDefault="002874A3">
      <w:pPr>
        <w:numPr>
          <w:ilvl w:val="0"/>
          <w:numId w:val="8"/>
        </w:numPr>
        <w:tabs>
          <w:tab w:val="left" w:pos="900"/>
        </w:tabs>
        <w:spacing w:after="0" w:line="360" w:lineRule="auto"/>
        <w:ind w:left="0" w:firstLine="720"/>
        <w:jc w:val="both"/>
        <w:rPr>
          <w:rFonts w:ascii="Times New Roman" w:hAnsi="Times New Roman"/>
          <w:sz w:val="28"/>
        </w:rPr>
      </w:pPr>
      <w:r>
        <w:rPr>
          <w:rFonts w:ascii="Times New Roman" w:hAnsi="Times New Roman"/>
          <w:sz w:val="28"/>
        </w:rPr>
        <w:t>Скликання та проведення нарад з питань, що входять до його компетенції.</w:t>
      </w:r>
    </w:p>
    <w:p w:rsidR="007155E9" w:rsidRDefault="002874A3">
      <w:pPr>
        <w:numPr>
          <w:ilvl w:val="0"/>
          <w:numId w:val="8"/>
        </w:numPr>
        <w:tabs>
          <w:tab w:val="left" w:pos="900"/>
        </w:tabs>
        <w:spacing w:after="0" w:line="360" w:lineRule="auto"/>
        <w:ind w:left="0" w:firstLine="720"/>
        <w:jc w:val="both"/>
        <w:rPr>
          <w:rFonts w:ascii="Times New Roman" w:hAnsi="Times New Roman"/>
          <w:sz w:val="28"/>
        </w:rPr>
      </w:pPr>
      <w:r>
        <w:rPr>
          <w:rFonts w:ascii="Times New Roman" w:hAnsi="Times New Roman"/>
          <w:sz w:val="28"/>
        </w:rPr>
        <w:t>Укладання угод та видання доручень, включаючи відкриття рахунків для спеціальних коштів та інших позабюджетних коштів в імені управління.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Для спільного вирішення питань, що належать до компетенції управління, може утворюватися колегія, що складається з начальника управління (голови колегії), його заступника, спеціалістів управління та інших зацікавлених сторін. Склад колегії затверджується виконавчим комітетом міської ради. Рішення колегії фіксуються протокольно та затверджуються наказами начальника управління. Управління також може утворювати дорадчі та консультативні органи, експертні ради, персональний склад, положення про які затверджує начальник управління.</w:t>
      </w:r>
    </w:p>
    <w:p w:rsidR="007155E9" w:rsidRDefault="007155E9">
      <w:pPr>
        <w:spacing w:after="0" w:line="360" w:lineRule="auto"/>
        <w:ind w:firstLine="720"/>
        <w:jc w:val="both"/>
        <w:rPr>
          <w:rFonts w:ascii="Times New Roman" w:hAnsi="Times New Roman"/>
          <w:b/>
          <w:sz w:val="28"/>
        </w:rPr>
      </w:pP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2.3. Порівняльний аналіз управління туристичними комплексами органами виконавчих служб міських територіальних громад Хмельницької області.</w:t>
      </w:r>
    </w:p>
    <w:p w:rsidR="007155E9" w:rsidRDefault="002874A3">
      <w:pPr>
        <w:pStyle w:val="a6"/>
        <w:spacing w:after="0" w:line="360" w:lineRule="auto"/>
        <w:ind w:firstLine="720"/>
        <w:jc w:val="both"/>
        <w:rPr>
          <w:rFonts w:ascii="Times New Roman" w:hAnsi="Times New Roman"/>
          <w:b w:val="0"/>
          <w:sz w:val="28"/>
        </w:rPr>
      </w:pPr>
      <w:r>
        <w:rPr>
          <w:rFonts w:ascii="Times New Roman" w:hAnsi="Times New Roman"/>
          <w:b w:val="0"/>
          <w:sz w:val="28"/>
        </w:rPr>
        <w:t>Проаналізуємо посадові обов’язки інших міських рад щодо управління культури і туризму. Для порівняння обрано дві популярні міські територіальні громади, такі як Кам’янець-Подільську та Нетішинську.</w:t>
      </w:r>
    </w:p>
    <w:p w:rsidR="007155E9" w:rsidRDefault="002874A3">
      <w:pPr>
        <w:pStyle w:val="a6"/>
        <w:spacing w:after="0" w:line="360" w:lineRule="auto"/>
        <w:ind w:firstLine="720"/>
        <w:jc w:val="both"/>
        <w:rPr>
          <w:rFonts w:ascii="Times New Roman" w:hAnsi="Times New Roman"/>
          <w:b w:val="0"/>
          <w:sz w:val="28"/>
        </w:rPr>
      </w:pPr>
      <w:r>
        <w:rPr>
          <w:rFonts w:ascii="Times New Roman" w:hAnsi="Times New Roman"/>
          <w:b w:val="0"/>
          <w:sz w:val="28"/>
        </w:rPr>
        <w:t xml:space="preserve">Відповідно до рішення тридцять сьомої сесії Нетішинської міської ради </w:t>
      </w:r>
      <w:r>
        <w:rPr>
          <w:rFonts w:ascii="Times New Roman" w:hAnsi="Times New Roman"/>
          <w:b w:val="0"/>
          <w:color w:val="000000"/>
          <w:sz w:val="28"/>
        </w:rPr>
        <w:t>15 січня 2013 року № 0988, міська рада вирішила перейменувати</w:t>
      </w:r>
      <w:r>
        <w:rPr>
          <w:rFonts w:ascii="Times New Roman" w:hAnsi="Times New Roman"/>
          <w:color w:val="000000"/>
          <w:sz w:val="28"/>
        </w:rPr>
        <w:t xml:space="preserve"> </w:t>
      </w:r>
      <w:r>
        <w:rPr>
          <w:rFonts w:ascii="Times New Roman" w:hAnsi="Times New Roman"/>
          <w:b w:val="0"/>
          <w:sz w:val="28"/>
        </w:rPr>
        <w:t>Відділ культури та туризму виконавчого комітету міської ради в Управління культури виконавчого комітету Нетішинської міської ради, що дало змогу внести корективи у його роботу [40].</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Основними завданнями управління є впровадження державної політики у сфері культури, національностей та релігій, збереження культурної спадщини та забезпечення дотримання державної мовної політики. Також до завдань входить підтримка розвитку культурно-мистецьких процесів, забезпечення доступності культурних послуг для всіх громадян та сприяння відродженню і розвитку української культури та традицій, а також збереження і відзначення культурних та мовних особливостей корінних народів і національних меншин. До завдань </w:t>
      </w:r>
      <w:r>
        <w:rPr>
          <w:rFonts w:ascii="Times New Roman" w:hAnsi="Times New Roman"/>
          <w:sz w:val="28"/>
        </w:rPr>
        <w:lastRenderedPageBreak/>
        <w:t xml:space="preserve">також входить захист прав творчих професіоналів та їх спілок, соціальний захист працівників у сфері культури та охорони культурної спадщини. Усе це спрямовано на формування єдиної культурно-інформаційної сфери, підтримку та просування високоякісного культурного різноманіття й участь у розробці та виконанні програм розвитку культури та охорони культурної спадщини на регіональному та міському рівнях.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Управління, у відповідності до своїх завдань, створює умови для розвитку різних видів мистецтва, як професійного, так і аматорського, а також сприяє організації культурних заходів для населення міста та надає можливість отримання освіти в галузі культури і мистецтва. Крім того, воно покликане сприяти розвитку соціальної та ринкової інфраструктури у сфері культури та охорони культурної спадщини, підвищувати матеріально-технічне забезпечення такої інфраструктури.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Управління також сприяє впровадженню екскурсійної діяльності та сприяє формуванню репертуарів кінотеатрів, творчих колективів і збільшенню фондів бібліотек. Крім того, воно організовує виставки, популяризує високоякісне кіномистецтво та сприяє відродженню народних художніх промислів та збереженню культурної спадщини.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Управління працює над розвитком мережі та підвищенням технічної бази закладів культури та мистецтва, а також спеціалізованих мистецьких навчальних закладів (шкіл естетичного виховання) у місті. Воно також дбає про права споживачів культурного і туристичного продукту та працює над збереженням і відтворенням традиційного характеру міського середовища та історичних ареалів. Управління спрямоване на відродження народної творчості, народних художніх промислів і ремесел.</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Крім того, воно проводить роботу з фіксації національної нематеріальної культурної спадщини та забезпечує дотримання режиму використання об’єктів місцевого значення та їх територій, зон охорони.</w:t>
      </w:r>
    </w:p>
    <w:p w:rsidR="007155E9" w:rsidRDefault="002874A3">
      <w:pPr>
        <w:spacing w:after="0" w:line="360" w:lineRule="auto"/>
        <w:ind w:firstLine="720"/>
        <w:jc w:val="both"/>
        <w:rPr>
          <w:rFonts w:ascii="Times New Roman" w:hAnsi="Times New Roman"/>
          <w:sz w:val="28"/>
        </w:rPr>
      </w:pPr>
      <w:proofErr w:type="gramStart"/>
      <w:r>
        <w:rPr>
          <w:rFonts w:ascii="Times New Roman" w:hAnsi="Times New Roman"/>
          <w:sz w:val="28"/>
        </w:rPr>
        <w:t>До складу</w:t>
      </w:r>
      <w:proofErr w:type="gramEnd"/>
      <w:r>
        <w:rPr>
          <w:rFonts w:ascii="Times New Roman" w:hAnsi="Times New Roman"/>
          <w:sz w:val="28"/>
        </w:rPr>
        <w:t xml:space="preserve"> управління входять такі підрозділи та заклади [40]:</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Апарат управління.</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Централізована бухгалтерія.</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Нетішинська міська централізована бібліотечна система Нетішинської міської ради.</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Комунальний заклад «Палац культури м. Нетішина».</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Комунальний заклад «Нетішинський міський Будинок культури».</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Початковий спеціалізований мистецький навчальний заклад «Нетішинська міська школа мистецтв».</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Початковий спеціалізований мистецький навчальний заклад «Нетішинська міська художня школа».</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Міський краєзнавчий музей.</w:t>
      </w:r>
    </w:p>
    <w:p w:rsidR="007155E9" w:rsidRDefault="002874A3">
      <w:pPr>
        <w:numPr>
          <w:ilvl w:val="0"/>
          <w:numId w:val="14"/>
        </w:numPr>
        <w:tabs>
          <w:tab w:val="left" w:pos="1080"/>
        </w:tabs>
        <w:spacing w:after="0" w:line="360" w:lineRule="auto"/>
        <w:ind w:left="0" w:firstLine="720"/>
        <w:jc w:val="both"/>
        <w:rPr>
          <w:rFonts w:ascii="Times New Roman" w:hAnsi="Times New Roman"/>
          <w:sz w:val="28"/>
        </w:rPr>
      </w:pPr>
      <w:r>
        <w:rPr>
          <w:rFonts w:ascii="Times New Roman" w:hAnsi="Times New Roman"/>
          <w:sz w:val="28"/>
        </w:rPr>
        <w:t>Муніципальний хоровий колектив.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10. Муніципальний духовий оркестр.</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Управління очолює начальник, якого призначає і звільняє з посади міський голова. Це відбувається шляхом конкурсного відбору або іншої передбаченої законодавством процедури, згідно із Законом України «Про службу в органах місцевого самоврядування». При цьому міський голова звітує перед управлінням культури, національностей та релігій обласної державної адміністрації. Для призначення </w:t>
      </w:r>
      <w:proofErr w:type="gramStart"/>
      <w:r>
        <w:rPr>
          <w:rFonts w:ascii="Times New Roman" w:hAnsi="Times New Roman"/>
          <w:sz w:val="28"/>
        </w:rPr>
        <w:t>на посаду</w:t>
      </w:r>
      <w:proofErr w:type="gramEnd"/>
      <w:r>
        <w:rPr>
          <w:rFonts w:ascii="Times New Roman" w:hAnsi="Times New Roman"/>
          <w:sz w:val="28"/>
        </w:rPr>
        <w:t xml:space="preserve"> начальника управління необхідно мати повну вищу освіту, відповідну до рівня магістра чи спеціаліста, а також стаж роботи у місцевих органах самоврядування чи на державній службі не менше 3 років. Також важливо, щоб особа, яку призначають на цю посаду, володіла державною мовою. Під час відсутності начальника управління, будь то через відпустку, </w:t>
      </w:r>
      <w:r>
        <w:rPr>
          <w:rFonts w:ascii="Times New Roman" w:hAnsi="Times New Roman"/>
          <w:sz w:val="28"/>
        </w:rPr>
        <w:lastRenderedPageBreak/>
        <w:t>відрядження, або хворобу, його обов’язки виконує головний спеціаліст відділу. На посади заступників і спеціалістів управління призначаються особи з повною вищою освітою та стажем роботи не менше 3 років. Права, посадові обов’язки, кваліфікаційні вимоги та відповідальність працівників управління визначаються у посадових інструкціях. Закінчення діяльності управління може мати місце за рішенням Нетішинської міської ради відповідно до законодавства України та встановленого порядку. Зміни та доповнення до цього Положення вносяться у відповідності до процедур, передбачених для його прийняття [40].</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Розвиток туризму в місті Кам’янці-Подільському підкріплене Положенням про Відділ культурної спадщини Кам’янець-Подільської районної державної адміністрації Хмельницької області. У ньому зазначені </w:t>
      </w:r>
      <w:proofErr w:type="gramStart"/>
      <w:r>
        <w:rPr>
          <w:rFonts w:ascii="Times New Roman" w:hAnsi="Times New Roman"/>
          <w:sz w:val="28"/>
        </w:rPr>
        <w:t>пункти,  підлаштовані</w:t>
      </w:r>
      <w:proofErr w:type="gramEnd"/>
      <w:r>
        <w:rPr>
          <w:rFonts w:ascii="Times New Roman" w:hAnsi="Times New Roman"/>
          <w:sz w:val="28"/>
        </w:rPr>
        <w:t xml:space="preserve"> під апарат місцевого самоврядування [39].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Відділ культурної спадщини Кам’янець-Подільської районної державної адміністрації Хмельницької області (далі - відділ) формується головою районної державної адміністрації. Відділ є складовою частиною Кам’янець-Подільської районної державної адміністрації і не є юридичною особою. Він підпорядковується голові районної державної адміністрації, а також відповідає перед Департаментом інформаційної діяльності, культури, національностей та релігій Хмельницької обласної державної адміністрації та Управлінню молоді та спорту Хмельницької обласної державної адміністрації.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Відділ виконує завдання, передбачені законодавством України у галузі культури і туризму на території району.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Діяльність відділу регулюється Конституцією і законами України, актами Президента України та Кабінету Міністрів України, наказами Міністерства культури, Міністерства молоді та спорту України та інших центральних органів виконавчої влади, а також розпорядженнями голови районної державної адміністрації, наказами Департаменту інформаційної діяльності, культури, </w:t>
      </w:r>
      <w:r>
        <w:rPr>
          <w:rFonts w:ascii="Times New Roman" w:hAnsi="Times New Roman"/>
          <w:sz w:val="28"/>
        </w:rPr>
        <w:lastRenderedPageBreak/>
        <w:t>національностей та релігій Хмельницької обласної державної адміністрації та управління молоді та спорту Хмельницької обласної державної адміністрації, а також цим Положенням.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Основними функціями відділу є [39]:</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1. Забезпечення впровадження державної політики у сфері молоді, культури, мистецтва, туризму, фізичної культури та спорту, а також охорони культурної спадщини, релігій і прав національних меншин на території району.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2. Визначення пріоритетів у розвитку культури, туризму, молоді, фізичної культури та спорту.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3. Координація діяльності місцевих органів виконавчої влади та органів місцевого самоврядування з метою впровадження державної політики у галузі культури, туризму, молоді та спорту.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4. Забезпечення участі у формуванні та впровадженні державної політики щодо спеціальної освіти в галузі культури і мистецтва.</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5. Сприяння відродженню та розвитку української культури, етнічної та культурної самобутності корінних народів і національних меншин, підтримка розвитку видів спорту, визнаних в Україні.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6. Співпраця з громадськими організаціями, спрямованими на фізкультурну та спортивну діяльність, а також на молодь і дітей. Розвиток олімпійського, параолімпійського та дефолімпійського руху.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7. Організація та проведення культурно-спортивних заходів для населення, що сприяє їх участі у фізичних вправах та збереженню здорового способу життя.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8. Підготовка пропозицій до проєктів програм соціально-економічного розвитку району та регіональних програм у галузі культури, туризму, молоді, спорту, охорони культурної спадщини, релігій та прав національних меншин.</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Відповідно до своїх повноважень відділ здійснює такі дії: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Бере активну участь у реалізації міжнародних проєктів в галузях культури, туризму, охорони культурної спадщини та національних відносин. Організовує проведення вітчизняних і міжнародних виставок, виставок-ярмарків, методичних і науково-практичних семінарів, конференцій та інших подій. Надає підтримку підприємствам, установам та організаціям у галузях культури, туризму та охорони культурної спадщини, організовуючи їхню роботу. Аналізує статистичні дані у галузях культури, туризму, фізичної культури та спорту для подальшого вдосконалення діяльності. Організовує проведення фестивалів, конкурсів, оглядів професійного та аматорського мистецтва, художньої творчості, виставок народних художніх промислів, конференцій, форумів, олімпіад, спартакіад, чемпіонатів, турнірів та інших заходів у галузях, що належать до його компетенції. Посилює інформаційну та методичну підтримку у галузях культури, туризму та охорони культурної спадщини. Сприяє реалізації програм і проєктів, розроблених молодіжними та іншими громадськими організаціями відповідно до своїх завдань. Координує заходи, спрямовані на організацію дозвілля молоді. Застосовує заходи для популяризації здорового способу життя серед молоді, включаючи інформаційну роботу щодо протидії поширенню соціально небезпечних хвороб серед молоді. Пояснює через засоби масової інформації зміст державної політики у галузях культури, мистецтва, туризму, охорони культурної спадщини, релігії та прав національних меншин. Розробляє та затверджує положення і календарні плани проведення подій, пов’язаних з молоддю, спортивними змаганнями та тренувальними заходами </w:t>
      </w:r>
      <w:proofErr w:type="gramStart"/>
      <w:r>
        <w:rPr>
          <w:rFonts w:ascii="Times New Roman" w:hAnsi="Times New Roman"/>
          <w:sz w:val="28"/>
        </w:rPr>
        <w:t>у межах</w:t>
      </w:r>
      <w:proofErr w:type="gramEnd"/>
      <w:r>
        <w:rPr>
          <w:rFonts w:ascii="Times New Roman" w:hAnsi="Times New Roman"/>
          <w:sz w:val="28"/>
        </w:rPr>
        <w:t xml:space="preserve"> доступних коштів. Формує збірні команди району для участі у різних видів спорту та сприяє підготовці спортсменів до змагань на різних рівнях. Підтримує розвиток мережі фізкультурно-спортивних закладів і прагне покращити їх кадровий склад та матеріально-технічну базу. Підтримує подання клопотань про нагородження спортсменів, тренерів і працівників сфери фізичної культури, туризму, молоді та </w:t>
      </w:r>
      <w:r>
        <w:rPr>
          <w:rFonts w:ascii="Times New Roman" w:hAnsi="Times New Roman"/>
          <w:sz w:val="28"/>
        </w:rPr>
        <w:lastRenderedPageBreak/>
        <w:t>спорту державними нагородами відповідно до установлених процедур. Надає консультації і методичну допомогу суб’єктам господарювання щодо ліцензування фізкультурно-оздоровчої та спортивної діяльності. Встановлює співпрацю з місцевими осередками громадських організацій фізкультурно-спортивного спрямування. Сприяє розвитку фізкультурно-реабілітаційної та спортивної роботи серед інвалідів, співпрацюючи з обласним центром «Інваспорт» та громадськими організаціями інвалідів фізкультурно-спортивного спрямування.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Виконує інші завдання відповідно до своїх повноважень.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Відділ має такі повноваження [39]:</w:t>
      </w:r>
    </w:p>
    <w:p w:rsidR="007155E9" w:rsidRDefault="002874A3">
      <w:pPr>
        <w:numPr>
          <w:ilvl w:val="0"/>
          <w:numId w:val="21"/>
        </w:numPr>
        <w:tabs>
          <w:tab w:val="left" w:pos="1080"/>
        </w:tabs>
        <w:spacing w:after="0" w:line="360" w:lineRule="auto"/>
        <w:ind w:left="0" w:firstLine="720"/>
        <w:jc w:val="both"/>
        <w:rPr>
          <w:rFonts w:ascii="Times New Roman" w:hAnsi="Times New Roman"/>
          <w:sz w:val="28"/>
        </w:rPr>
      </w:pPr>
      <w:r>
        <w:rPr>
          <w:rFonts w:ascii="Times New Roman" w:hAnsi="Times New Roman"/>
          <w:sz w:val="28"/>
        </w:rPr>
        <w:t>Залучати для розгляду питань, які входять до його компетенції, фахівців інших структурних підрозділів районної державної адміністрації, органів місцевого самоврядування, підприємств, установ та організацій (за попереднім погодженням з їхніми керівниками), а також представників об’єднань громадян (з їхньої згоди).</w:t>
      </w:r>
    </w:p>
    <w:p w:rsidR="007155E9" w:rsidRDefault="002874A3">
      <w:pPr>
        <w:numPr>
          <w:ilvl w:val="0"/>
          <w:numId w:val="21"/>
        </w:numPr>
        <w:tabs>
          <w:tab w:val="left" w:pos="1080"/>
        </w:tabs>
        <w:spacing w:after="0" w:line="360" w:lineRule="auto"/>
        <w:ind w:left="0" w:firstLine="720"/>
        <w:jc w:val="both"/>
        <w:rPr>
          <w:rFonts w:ascii="Times New Roman" w:hAnsi="Times New Roman"/>
          <w:sz w:val="28"/>
        </w:rPr>
      </w:pPr>
      <w:r>
        <w:rPr>
          <w:rFonts w:ascii="Times New Roman" w:hAnsi="Times New Roman"/>
          <w:sz w:val="28"/>
        </w:rPr>
        <w:t>Отримувати в установленому порядку інформацію, документи та інші матеріали від інших структурних підрозділів райдержадміністрації, органів місцевого самоврядування, підприємств, установ та організацій, які необхідні для виконання покладених на нього завдань.</w:t>
      </w:r>
    </w:p>
    <w:p w:rsidR="007155E9" w:rsidRDefault="002874A3">
      <w:pPr>
        <w:numPr>
          <w:ilvl w:val="0"/>
          <w:numId w:val="21"/>
        </w:numPr>
        <w:tabs>
          <w:tab w:val="left" w:pos="1080"/>
        </w:tabs>
        <w:spacing w:after="0" w:line="360" w:lineRule="auto"/>
        <w:ind w:left="0" w:firstLine="720"/>
        <w:jc w:val="both"/>
        <w:rPr>
          <w:rFonts w:ascii="Times New Roman" w:hAnsi="Times New Roman"/>
          <w:sz w:val="28"/>
        </w:rPr>
      </w:pPr>
      <w:r>
        <w:rPr>
          <w:rFonts w:ascii="Times New Roman" w:hAnsi="Times New Roman"/>
          <w:sz w:val="28"/>
        </w:rPr>
        <w:t>Скликати наради, конференції і семінари, а також утворювати експертні ради і робочі групи з питань, що входять до його компетенції.</w:t>
      </w:r>
    </w:p>
    <w:p w:rsidR="007155E9" w:rsidRDefault="002874A3">
      <w:pPr>
        <w:numPr>
          <w:ilvl w:val="0"/>
          <w:numId w:val="21"/>
        </w:numPr>
        <w:tabs>
          <w:tab w:val="left" w:pos="1080"/>
        </w:tabs>
        <w:spacing w:after="0" w:line="360" w:lineRule="auto"/>
        <w:ind w:left="0" w:firstLine="720"/>
        <w:jc w:val="both"/>
        <w:rPr>
          <w:rFonts w:ascii="Times New Roman" w:hAnsi="Times New Roman"/>
          <w:sz w:val="28"/>
        </w:rPr>
      </w:pPr>
      <w:r>
        <w:rPr>
          <w:rFonts w:ascii="Times New Roman" w:hAnsi="Times New Roman"/>
          <w:sz w:val="28"/>
        </w:rPr>
        <w:t>Вносити пропозиції щодо удосконалення роботи районної державної адміністрації в сферах культури, туризму, молоді та спорту у встановленому порядку.</w:t>
      </w:r>
    </w:p>
    <w:p w:rsidR="007155E9" w:rsidRDefault="002874A3">
      <w:pPr>
        <w:numPr>
          <w:ilvl w:val="0"/>
          <w:numId w:val="21"/>
        </w:numPr>
        <w:tabs>
          <w:tab w:val="left" w:pos="1080"/>
        </w:tabs>
        <w:spacing w:after="0" w:line="360" w:lineRule="auto"/>
        <w:ind w:left="0" w:firstLine="720"/>
        <w:jc w:val="both"/>
        <w:rPr>
          <w:rFonts w:ascii="Times New Roman" w:hAnsi="Times New Roman"/>
          <w:sz w:val="28"/>
        </w:rPr>
      </w:pPr>
      <w:r>
        <w:rPr>
          <w:rFonts w:ascii="Times New Roman" w:hAnsi="Times New Roman"/>
          <w:sz w:val="28"/>
        </w:rPr>
        <w:t>Користуватися інформаційними базами органів виконавчої влади, системами зв’язку та комунікацій, мережами спеціального зв’язку та іншими технічними засобами у встановленому порядку.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Взаємодіяти з іншими структурними підрозділами, апаратом районної державної адміністрації, органами місцевого самоврядування, територіальними органами міністерств, інших центральних органів виконавчої влади, а також підприємствами, установами та організаціями з метою створення умов для проведення послідовної та узгодженої діяльності в плануванні строків, періодичності одержання та передачі інформації, яка необхідна для належного виконання покладених завдань та реалізації запланованих заходів.</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На керівника відділу покладені такі обов’язки [39]:</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Забезпечувати керівництво відділом і нести особисту відповідальність за виконання завдань, організацію, та результати його роботи. Також представляти Положення про відділ для затвердження голові районної державної адміністрації.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Затверджувати посадові інструкції для працівників відділу та розподіляти обов’язки серед них.</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Видавати накази в рамках своїх повноважень та організовувати і контролювати їх виконання. Планувати діяльність відділу та подавати пропозиції щодо формування робочих планів районної державної адміністрації.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Працювати над вдосконаленням організації та підвищення ефективності відділу.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Звітувати перед головою районної державної адміністрації щодо виконання завдань, покладених на відділ, та затверджених планів роботи.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Має можливість брати участь у засіданнях органів місцевого самоврядування та вносити пропозиції для розгляду на засіданнях колегії районної державної адміністрації, які відповідають компетенції відділу.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Представляти інтереси відділу у взаємовідносинах з іншими структурними підрозділами районної державної адміністрації, міністерствами, центральними органами виконавчої влади, органами місцевого самоврядування, </w:t>
      </w:r>
      <w:r>
        <w:rPr>
          <w:rFonts w:ascii="Times New Roman" w:hAnsi="Times New Roman"/>
          <w:sz w:val="28"/>
        </w:rPr>
        <w:lastRenderedPageBreak/>
        <w:t>підприємствами, установами та організаціями за дорученням керівництва районної державної адміністрації.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Подавати на затвердження голові районної державної адміністрації проєкти кошторису та штатного розпису відділу в межах визначеної граничної чисельності та фонду оплати праці працівників відділу.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Проводити особистий прийом громадян щодо питань, які належать до компетенції відділу. Забезпечувати дотримання правил внутрішнього трудового розпорядку та виконавської дисципліни серед працівників відділу. В межах своїх повноважень вживати заходів для запобігання та протидії корупції, а також контролювати їх виконання відділом.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Виконувати інші завдання, визначені чинним законодавством. Відділ фінансується за рахунок коштів державного бюджету, а граничну чисельність та фонд оплати праці працівників визначає голова районної державної адміністрації в рамках відповідних бюджетних призначень.</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Отже, проаналізувавши структурні документи Кам’янець-Подільського управління туризму та культури </w:t>
      </w:r>
      <w:proofErr w:type="gramStart"/>
      <w:r>
        <w:rPr>
          <w:rFonts w:ascii="Times New Roman" w:hAnsi="Times New Roman"/>
          <w:sz w:val="28"/>
        </w:rPr>
        <w:t>та  управління</w:t>
      </w:r>
      <w:proofErr w:type="gramEnd"/>
      <w:r>
        <w:rPr>
          <w:rFonts w:ascii="Times New Roman" w:hAnsi="Times New Roman"/>
          <w:sz w:val="28"/>
        </w:rPr>
        <w:t xml:space="preserve"> культури виконавчого комітету Нетішинської міської ради можна розглянути схожі тенденції підтримки розвитку структур та визначення управління згідно положень, проте відмінність у їх повноваженнях усе ж прослідковується, відповідно до кількості об’єктів а також можливості виконувати програму покладену на стратегічний розвиток усього туристичного комплексу. Потрібно краще аналізувати та прослідковувати нові тенденції, та зміни у системі взаємозв’язків туристичних регіонів, для можливості покращення управління на місцях місцевого самоврядування, та ефективного вирішення проблемних завдань.</w:t>
      </w:r>
    </w:p>
    <w:p w:rsidR="007155E9" w:rsidRDefault="007155E9">
      <w:pPr>
        <w:spacing w:after="0" w:line="360" w:lineRule="auto"/>
        <w:ind w:firstLine="720"/>
        <w:jc w:val="both"/>
        <w:rPr>
          <w:rFonts w:ascii="Times New Roman" w:hAnsi="Times New Roman"/>
          <w:b/>
          <w:sz w:val="28"/>
        </w:rPr>
      </w:pPr>
    </w:p>
    <w:p w:rsidR="007155E9" w:rsidRDefault="002874A3">
      <w:pPr>
        <w:spacing w:after="0" w:line="360" w:lineRule="auto"/>
        <w:ind w:firstLine="720"/>
        <w:jc w:val="both"/>
        <w:rPr>
          <w:rFonts w:ascii="Times New Roman" w:hAnsi="Times New Roman"/>
          <w:b/>
          <w:sz w:val="28"/>
        </w:rPr>
      </w:pPr>
      <w:r>
        <w:rPr>
          <w:rFonts w:ascii="Times New Roman" w:hAnsi="Times New Roman"/>
          <w:b/>
          <w:sz w:val="28"/>
        </w:rPr>
        <w:t>2.4. Методичні поради щодо діяльності виконавчої служби територіальної громади в управлінні туристичним комплексом</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Діяльність виконавчої служби територіальної громади у сфері управління туристичним комплексом вимагає компетентності та систематичної роботи. Для ефективності функціонування туристичного комплексу можна надати такі методичні поради:</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Потрібно аналізувати потенціал і потреби:</w:t>
      </w:r>
      <w:r>
        <w:rPr>
          <w:rFonts w:ascii="Times New Roman" w:hAnsi="Times New Roman"/>
          <w:color w:val="374151"/>
          <w:sz w:val="28"/>
        </w:rPr>
        <w:t xml:space="preserve"> </w:t>
      </w:r>
      <w:r>
        <w:rPr>
          <w:rFonts w:ascii="Times New Roman" w:hAnsi="Times New Roman"/>
          <w:sz w:val="28"/>
        </w:rPr>
        <w:t>Ретельно вивчати природні, культурні та історичні ресурси території. Визначати, які види туризму можуть бути привабливими (екологічний, культурний, спортивний тощо). Розробити стратегію, орієнтовану на визначену аудиторію.</w:t>
      </w:r>
    </w:p>
    <w:p w:rsidR="007155E9" w:rsidRDefault="002874A3">
      <w:pPr>
        <w:numPr>
          <w:ilvl w:val="0"/>
          <w:numId w:val="15"/>
        </w:numPr>
        <w:tabs>
          <w:tab w:val="left" w:pos="1080"/>
        </w:tabs>
        <w:spacing w:after="0" w:line="360" w:lineRule="auto"/>
        <w:ind w:left="0" w:firstLine="720"/>
        <w:jc w:val="both"/>
        <w:rPr>
          <w:rFonts w:ascii="Times New Roman" w:hAnsi="Times New Roman"/>
          <w:color w:val="374151"/>
          <w:sz w:val="28"/>
        </w:rPr>
      </w:pPr>
      <w:r>
        <w:rPr>
          <w:rFonts w:ascii="Times New Roman" w:hAnsi="Times New Roman"/>
          <w:i/>
          <w:sz w:val="28"/>
        </w:rPr>
        <w:t>Залучення стейкхолдерів:</w:t>
      </w:r>
      <w:r>
        <w:rPr>
          <w:rFonts w:ascii="Times New Roman" w:hAnsi="Times New Roman"/>
          <w:color w:val="374151"/>
          <w:sz w:val="28"/>
        </w:rPr>
        <w:t xml:space="preserve"> </w:t>
      </w:r>
      <w:r>
        <w:rPr>
          <w:rFonts w:ascii="Times New Roman" w:hAnsi="Times New Roman"/>
          <w:sz w:val="28"/>
        </w:rPr>
        <w:t>Працювати разом із місцевими підприємствами, органами влади та громадськими організаціями. Спільно розробляти плани та ініціативи для розвитку туризму.</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Створювати інфраструктуру:</w:t>
      </w:r>
      <w:r>
        <w:rPr>
          <w:rFonts w:ascii="Times New Roman" w:hAnsi="Times New Roman"/>
          <w:color w:val="374151"/>
          <w:sz w:val="28"/>
        </w:rPr>
        <w:t xml:space="preserve"> </w:t>
      </w:r>
      <w:r>
        <w:rPr>
          <w:rFonts w:ascii="Times New Roman" w:hAnsi="Times New Roman"/>
          <w:sz w:val="28"/>
        </w:rPr>
        <w:t>Забезпечувати якісну та безпечну інфраструктуру для туристів, включаючи готелі, ресторани, транспортні засоби, маршрути та екскурсії.</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Маркетинг та просування:</w:t>
      </w:r>
      <w:r>
        <w:rPr>
          <w:rFonts w:ascii="Times New Roman" w:hAnsi="Times New Roman"/>
          <w:sz w:val="28"/>
        </w:rPr>
        <w:t xml:space="preserve"> Розробити маркетингову стратегію для приваблення туристів. Використовувати інтернет-маркетинг, соціальні мережі та рекламу для просування вашого туристичного комплексу.</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Залучати фінансування:</w:t>
      </w:r>
      <w:r>
        <w:rPr>
          <w:rFonts w:ascii="Times New Roman" w:hAnsi="Times New Roman"/>
          <w:sz w:val="28"/>
        </w:rPr>
        <w:t xml:space="preserve"> Шукати джерела фінансування для розвитку туризму, включаючи гранти, інвестиції та спонсорство.</w:t>
      </w:r>
    </w:p>
    <w:p w:rsidR="007155E9" w:rsidRDefault="002874A3">
      <w:pPr>
        <w:numPr>
          <w:ilvl w:val="0"/>
          <w:numId w:val="15"/>
        </w:numPr>
        <w:tabs>
          <w:tab w:val="left" w:pos="1080"/>
        </w:tabs>
        <w:spacing w:after="0" w:line="360" w:lineRule="auto"/>
        <w:ind w:left="0" w:firstLine="720"/>
        <w:jc w:val="both"/>
        <w:rPr>
          <w:rFonts w:ascii="Times New Roman" w:hAnsi="Times New Roman"/>
          <w:color w:val="374151"/>
          <w:sz w:val="28"/>
        </w:rPr>
      </w:pPr>
      <w:r>
        <w:rPr>
          <w:rFonts w:ascii="Times New Roman" w:hAnsi="Times New Roman"/>
          <w:i/>
          <w:sz w:val="28"/>
        </w:rPr>
        <w:t>Спільнота та освіта:</w:t>
      </w:r>
      <w:r>
        <w:rPr>
          <w:rFonts w:ascii="Times New Roman" w:hAnsi="Times New Roman"/>
          <w:color w:val="374151"/>
          <w:sz w:val="28"/>
        </w:rPr>
        <w:t xml:space="preserve"> </w:t>
      </w:r>
      <w:r>
        <w:rPr>
          <w:rFonts w:ascii="Times New Roman" w:hAnsi="Times New Roman"/>
          <w:sz w:val="28"/>
        </w:rPr>
        <w:t>Робити акцент на включенні місцевих спільнот у процес розвитку туризму. Організовувати навчання та інформування про можливості розвитку туризму для місцевих підприємців та жителів.</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Спостереження та оцінка:</w:t>
      </w:r>
      <w:r>
        <w:rPr>
          <w:rFonts w:ascii="Times New Roman" w:hAnsi="Times New Roman"/>
          <w:color w:val="374151"/>
          <w:sz w:val="28"/>
        </w:rPr>
        <w:t xml:space="preserve"> </w:t>
      </w:r>
      <w:r>
        <w:rPr>
          <w:rFonts w:ascii="Times New Roman" w:hAnsi="Times New Roman"/>
          <w:sz w:val="28"/>
        </w:rPr>
        <w:t>Постійно моніторити розвиток туристичного комплексу та оцінювати ефективність запланованих заходів. Вивчати зворотній зв’язок від туристів та місцевих громадян для постійного удосконалення.</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lastRenderedPageBreak/>
        <w:t>Довгострокове планування:</w:t>
      </w:r>
      <w:r>
        <w:rPr>
          <w:rFonts w:ascii="Times New Roman" w:hAnsi="Times New Roman"/>
          <w:sz w:val="28"/>
        </w:rPr>
        <w:t xml:space="preserve"> Створювати довгострокові плани для розвитку туризму на вашій території. Це допоможе мати чіткий візіонерський погляд і визначати пріоритети.</w:t>
      </w:r>
    </w:p>
    <w:p w:rsidR="007155E9" w:rsidRDefault="002874A3">
      <w:pPr>
        <w:numPr>
          <w:ilvl w:val="0"/>
          <w:numId w:val="15"/>
        </w:numPr>
        <w:tabs>
          <w:tab w:val="left" w:pos="1080"/>
        </w:tabs>
        <w:spacing w:after="0" w:line="360" w:lineRule="auto"/>
        <w:ind w:left="0" w:firstLine="720"/>
        <w:jc w:val="both"/>
        <w:rPr>
          <w:rFonts w:ascii="Times New Roman" w:hAnsi="Times New Roman"/>
          <w:sz w:val="28"/>
        </w:rPr>
      </w:pPr>
      <w:r>
        <w:rPr>
          <w:rFonts w:ascii="Times New Roman" w:hAnsi="Times New Roman"/>
          <w:i/>
          <w:sz w:val="28"/>
        </w:rPr>
        <w:t>Увага на сталість розвитку:</w:t>
      </w:r>
      <w:r>
        <w:rPr>
          <w:rFonts w:ascii="Times New Roman" w:hAnsi="Times New Roman"/>
          <w:color w:val="374151"/>
          <w:sz w:val="28"/>
        </w:rPr>
        <w:t xml:space="preserve"> </w:t>
      </w:r>
      <w:r>
        <w:rPr>
          <w:rFonts w:ascii="Times New Roman" w:hAnsi="Times New Roman"/>
          <w:sz w:val="28"/>
        </w:rPr>
        <w:t>Забезпечувати сталість розвитку, враховуючи вплив туризму на навколишнє середовище та місцеві культурні цінності.</w:t>
      </w:r>
    </w:p>
    <w:p w:rsidR="007155E9" w:rsidRDefault="002874A3">
      <w:pPr>
        <w:tabs>
          <w:tab w:val="left" w:pos="1260"/>
        </w:tabs>
        <w:spacing w:after="0" w:line="360" w:lineRule="auto"/>
        <w:ind w:firstLine="720"/>
        <w:jc w:val="both"/>
        <w:rPr>
          <w:rFonts w:ascii="Times New Roman" w:hAnsi="Times New Roman"/>
          <w:sz w:val="28"/>
        </w:rPr>
      </w:pPr>
      <w:r>
        <w:rPr>
          <w:rFonts w:ascii="Times New Roman" w:hAnsi="Times New Roman"/>
          <w:sz w:val="28"/>
        </w:rPr>
        <w:t>10</w:t>
      </w:r>
      <w:r>
        <w:rPr>
          <w:rFonts w:ascii="Times New Roman" w:hAnsi="Times New Roman"/>
          <w:b/>
          <w:sz w:val="28"/>
        </w:rPr>
        <w:t xml:space="preserve">. </w:t>
      </w:r>
      <w:r>
        <w:rPr>
          <w:rFonts w:ascii="Times New Roman" w:hAnsi="Times New Roman"/>
          <w:i/>
          <w:sz w:val="28"/>
        </w:rPr>
        <w:t>Співпраця із громадськістю:</w:t>
      </w:r>
      <w:r>
        <w:rPr>
          <w:rFonts w:ascii="Times New Roman" w:hAnsi="Times New Roman"/>
          <w:color w:val="374151"/>
          <w:sz w:val="28"/>
        </w:rPr>
        <w:t xml:space="preserve"> </w:t>
      </w:r>
      <w:r>
        <w:rPr>
          <w:rFonts w:ascii="Times New Roman" w:hAnsi="Times New Roman"/>
          <w:sz w:val="28"/>
        </w:rPr>
        <w:t>Залучати громадськість до участі прийнятті рішень щодо розвитку туризму та інформувати їх про досягнення та плани.</w:t>
      </w:r>
    </w:p>
    <w:p w:rsidR="007155E9" w:rsidRDefault="002874A3">
      <w:pPr>
        <w:tabs>
          <w:tab w:val="left" w:pos="1260"/>
        </w:tabs>
        <w:spacing w:after="0" w:line="360" w:lineRule="auto"/>
        <w:ind w:firstLine="720"/>
        <w:jc w:val="both"/>
        <w:rPr>
          <w:rFonts w:ascii="Times New Roman" w:hAnsi="Times New Roman"/>
          <w:sz w:val="28"/>
        </w:rPr>
      </w:pPr>
      <w:r>
        <w:rPr>
          <w:rFonts w:ascii="Times New Roman" w:hAnsi="Times New Roman"/>
          <w:sz w:val="28"/>
        </w:rPr>
        <w:t xml:space="preserve"> 11. </w:t>
      </w:r>
      <w:r>
        <w:rPr>
          <w:rFonts w:ascii="Times New Roman" w:hAnsi="Times New Roman"/>
          <w:i/>
          <w:sz w:val="28"/>
        </w:rPr>
        <w:t>Залучення іноземних інвесторів:</w:t>
      </w:r>
      <w:r>
        <w:rPr>
          <w:rFonts w:ascii="Times New Roman" w:hAnsi="Times New Roman"/>
          <w:sz w:val="28"/>
        </w:rPr>
        <w:t xml:space="preserve"> Використовуючи інструменти міжнародного зв’язку залучати аудиторію різних країн до вкладення чи співпраці у туристичному розвитку певного виду туризму.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Ці рекомендації сприятимуть ефективному управлінню туристичним комплексом на території регіону, допоможуть вирішити проблеми розвитку регіону, лише </w:t>
      </w:r>
      <w:proofErr w:type="gramStart"/>
      <w:r>
        <w:rPr>
          <w:rFonts w:ascii="Times New Roman" w:hAnsi="Times New Roman"/>
          <w:sz w:val="28"/>
        </w:rPr>
        <w:t>за умов</w:t>
      </w:r>
      <w:proofErr w:type="gramEnd"/>
      <w:r>
        <w:rPr>
          <w:rFonts w:ascii="Times New Roman" w:hAnsi="Times New Roman"/>
          <w:sz w:val="28"/>
        </w:rPr>
        <w:t xml:space="preserve"> соціальної, політичної, та економічної стабільності. У більш широкому загалі, можна спробувати переглянути сучасні важелі керування управлінською діяльністю у регіоні, та запровадити нові посадові обов’язки, чи поступово змінювати </w:t>
      </w:r>
      <w:proofErr w:type="gramStart"/>
      <w:r>
        <w:rPr>
          <w:rFonts w:ascii="Times New Roman" w:hAnsi="Times New Roman"/>
          <w:sz w:val="28"/>
        </w:rPr>
        <w:t>механізми  в</w:t>
      </w:r>
      <w:proofErr w:type="gramEnd"/>
      <w:r>
        <w:rPr>
          <w:rFonts w:ascii="Times New Roman" w:hAnsi="Times New Roman"/>
          <w:sz w:val="28"/>
        </w:rPr>
        <w:t xml:space="preserve"> середині системи відповідно до європейської.</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Для ефективного функціонування виконавчих служб, варто переглянути підхід до виконання їх посадових інструкцій та залучення провідних спеціалістів, до їх аналізування. </w:t>
      </w:r>
    </w:p>
    <w:p w:rsidR="007155E9" w:rsidRDefault="002874A3">
      <w:pPr>
        <w:spacing w:after="0" w:line="360" w:lineRule="auto"/>
        <w:ind w:firstLine="720"/>
        <w:jc w:val="both"/>
        <w:rPr>
          <w:rFonts w:ascii="Times New Roman" w:hAnsi="Times New Roman"/>
          <w:sz w:val="28"/>
        </w:rPr>
      </w:pPr>
      <w:proofErr w:type="gramStart"/>
      <w:r>
        <w:rPr>
          <w:rFonts w:ascii="Times New Roman" w:hAnsi="Times New Roman"/>
          <w:sz w:val="28"/>
        </w:rPr>
        <w:t>Для прикладу</w:t>
      </w:r>
      <w:proofErr w:type="gramEnd"/>
      <w:r>
        <w:rPr>
          <w:rFonts w:ascii="Times New Roman" w:hAnsi="Times New Roman"/>
          <w:sz w:val="28"/>
        </w:rPr>
        <w:t xml:space="preserve"> управління можна вважати скандинавські країни, які вдало використовують інструменти інвестиційного сполучення. </w:t>
      </w:r>
      <w:bookmarkStart w:id="1" w:name="_dx_frag_StartFragment"/>
      <w:bookmarkEnd w:id="1"/>
      <w:r>
        <w:rPr>
          <w:rFonts w:ascii="Times New Roman" w:hAnsi="Times New Roman"/>
          <w:sz w:val="28"/>
        </w:rPr>
        <w:t xml:space="preserve">У скандинавських країнах фінансування та підтримка розвитку туристичної сфери тісно пов’язані з концепцією сталого розвитку. Одержання підтримки в цьому контексті передбачає дотримання основної мети, а саме – збереження навколишнього </w:t>
      </w:r>
      <w:r>
        <w:rPr>
          <w:rFonts w:ascii="Times New Roman" w:hAnsi="Times New Roman"/>
          <w:sz w:val="28"/>
        </w:rPr>
        <w:lastRenderedPageBreak/>
        <w:t>середовища та мінімізацію негативного впливу, що виникає внаслідок зростаючого туристичного руху.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Уряди цих країн акцентують увагу на підтримці організацій, які пропонують раціональні підходи для досягнення визначених цілей. Фінансування визначається різними інвесторами та видами інвестиційних інструментів, які вибираються залежно від мети діяльності та вимог щодо отримання інвестицій.</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Рейтингова оцінка туристичних проєктів сприяє здоровій конкуренції за інвестиційні кошти, що має значний вплив на розвиток туристичного потенціалу в межах концепції сталого розвитку.</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Отже, використовуючи досвід управління інших країн та власної системи, можливо створити новий, покращений, неопосередкований механізм управління туристичним комплексом.</w:t>
      </w:r>
    </w:p>
    <w:p w:rsidR="007155E9" w:rsidRDefault="007155E9">
      <w:pPr>
        <w:spacing w:after="0" w:line="360" w:lineRule="auto"/>
        <w:ind w:firstLine="720"/>
        <w:jc w:val="center"/>
        <w:rPr>
          <w:rFonts w:ascii="Times New Roman" w:hAnsi="Times New Roman"/>
          <w:b/>
          <w:caps/>
          <w:sz w:val="28"/>
        </w:rPr>
      </w:pPr>
    </w:p>
    <w:p w:rsidR="007155E9" w:rsidRDefault="007155E9">
      <w:pPr>
        <w:spacing w:after="0" w:line="360" w:lineRule="auto"/>
        <w:ind w:firstLine="720"/>
        <w:jc w:val="center"/>
        <w:rPr>
          <w:rFonts w:ascii="Times New Roman" w:hAnsi="Times New Roman"/>
          <w:b/>
          <w:caps/>
          <w:sz w:val="28"/>
        </w:rPr>
      </w:pPr>
    </w:p>
    <w:p w:rsidR="007155E9" w:rsidRDefault="007155E9">
      <w:pPr>
        <w:spacing w:after="0" w:line="360" w:lineRule="auto"/>
        <w:ind w:firstLine="720"/>
        <w:jc w:val="center"/>
        <w:rPr>
          <w:rFonts w:ascii="Times New Roman" w:hAnsi="Times New Roman"/>
          <w:b/>
          <w:caps/>
          <w:sz w:val="28"/>
        </w:rPr>
      </w:pPr>
    </w:p>
    <w:p w:rsidR="007155E9" w:rsidRDefault="007155E9">
      <w:pPr>
        <w:spacing w:after="0" w:line="360" w:lineRule="auto"/>
        <w:ind w:firstLine="720"/>
        <w:jc w:val="center"/>
        <w:rPr>
          <w:rFonts w:ascii="Times New Roman" w:hAnsi="Times New Roman"/>
          <w:b/>
          <w:caps/>
          <w:sz w:val="28"/>
        </w:rPr>
      </w:pPr>
    </w:p>
    <w:p w:rsidR="007155E9" w:rsidRDefault="002874A3">
      <w:pPr>
        <w:spacing w:after="0" w:line="360" w:lineRule="auto"/>
        <w:ind w:firstLine="720"/>
        <w:jc w:val="center"/>
        <w:rPr>
          <w:rFonts w:ascii="Times New Roman" w:hAnsi="Times New Roman"/>
          <w:b/>
          <w:caps/>
          <w:sz w:val="28"/>
        </w:rPr>
      </w:pPr>
      <w:r>
        <w:rPr>
          <w:rFonts w:ascii="Times New Roman" w:hAnsi="Times New Roman"/>
          <w:b/>
          <w:caps/>
          <w:sz w:val="28"/>
        </w:rPr>
        <w:t>Висновки</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1. Управління туристичним комплексом є важливою складовою у формуванні цілісного потенціалу розвитку області та підтримки культурної спадщини на всеукраїнському рівні. Проаналізувавши Хмельницьку міську громаду та її туристичний комплекс, можна зробити висновок про якість та актуальність надання управлінської діяльності в інших громадах відповідного призначення.</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 На сьогоднішній день, через військовий стан, повністю змінилась економічна та політична ситуація у країні. Величезні кошти йдуть на захист нашої державності, забезпечення функціонування військового апарату та </w:t>
      </w:r>
      <w:r>
        <w:rPr>
          <w:rFonts w:ascii="Times New Roman" w:hAnsi="Times New Roman"/>
          <w:sz w:val="28"/>
        </w:rPr>
        <w:lastRenderedPageBreak/>
        <w:t>створення гуманітарних коридорів. Україна прагне поєднати себе з найбільшим об’єднанням в Європі, до якої входять країни з високими показниками розвитку. Проте серед основних умов вступу до Європейського Союзу було вказано завершення військових дій на території країни, є ще ряд вимог, що були затребувані для вступу. Управлінська структура також зазнала серйозної критики з боку іноземних партнерів через невідповідність багатьом умовам, що вказані в Європейському Союзі.</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 3. Основною проблемою для розвитку управління громадами залишається низький рівень фінансування для розвитку багатьох проєктів, також відсутність перспективних проєктів для їх використання не лише на короткий, а й довготривалий терміни. Управлінська діяльність потребуватиме значного оновлення у післявоєнний період. Логічно припустити залучення справжніх професійних фахівців у вирішенні багатьох питань відбудови структурної цілісності на державному рівні, та забезпечення підґрунтя для модернізації туристичних комплексів.</w:t>
      </w:r>
    </w:p>
    <w:p w:rsidR="007155E9" w:rsidRDefault="007155E9">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146490" w:rsidRDefault="00146490">
      <w:pPr>
        <w:spacing w:after="0" w:line="360" w:lineRule="auto"/>
        <w:ind w:firstLine="720"/>
        <w:jc w:val="both"/>
        <w:rPr>
          <w:rFonts w:ascii="Times New Roman" w:hAnsi="Times New Roman"/>
          <w:sz w:val="28"/>
        </w:rPr>
      </w:pPr>
    </w:p>
    <w:p w:rsidR="007155E9" w:rsidRDefault="002874A3">
      <w:pPr>
        <w:spacing w:before="125" w:after="0" w:line="360" w:lineRule="auto"/>
        <w:jc w:val="center"/>
        <w:rPr>
          <w:rFonts w:ascii="Times New Roman" w:hAnsi="Times New Roman"/>
          <w:b/>
          <w:sz w:val="28"/>
        </w:rPr>
      </w:pPr>
      <w:r>
        <w:rPr>
          <w:rFonts w:ascii="Times New Roman" w:hAnsi="Times New Roman"/>
          <w:b/>
          <w:sz w:val="28"/>
        </w:rPr>
        <w:lastRenderedPageBreak/>
        <w:t>СПИСОК ВИКОРИСТАНИХ ДЖЕРЕЛ</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 Баженова С. Е. Сучасний стан туристичної галузі в Хмельницький області. Вісн. Кам’янець-Подільського нац. ун-ту ім. І. Огієнка. Економічні науки. 2013. Вип. 8. С. 314–315.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 Бейдик О. О. Рекреаційно-туристські ресурси України: методологія та методика аналізу, термінологія, районування. Київ: Київ. ун-т, 2001. 395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 Бейдик О. О., Ільїн Л. В. Хмельницька область у Книзі рекордів України. Наук. вісник Волинського нац. ун-ту ім. Лесі Українки. Географ. науки. 2012. № 18. С. 156–159.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 Бейдик О. О., Мельничук А. Л., Топалова О. І., Сировець С. Ю. Чинники та перспективи розвитку адаптивного туризму в національних природних парках України. Географія та туризм. 2017. Вип. 40. С. 97–110.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 Бейдик О. О., Сировець С. Ю., Зяблова А. О. Український туризм: приховані можливості та сучасні тенденції розвитку. Географія та туризм. 2015. Вип. 34. С. 12–26.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 Борущак М. Проблеми формування стратегії розвитку туристичних регіонів. Львів: Ін-т регіональних досліджень НАН України, 2006. 288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7. Вуйцик О. Вплив рекреаційно-туристичного комплексу на розвиток економіки держави. Вісник Львів. нац. ун-ту. Сер.: Міжнародні відносини. 2008. Вип. 24. C. 35–42.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8. Гільберг Т. Г. Хмельницька область: трансформація структури господарства та пріоритети збалансованого розвитку: автореф. дис. ... канд. геогр. наук: 11.00.02. Київ, 2005. 21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9. Гуменюк О. В. Розвиток туризму у Хмельницькій області як складова характеристики міжнародного бізнесу регіону. Актуальні проблеми розвитку рекреаційного бізнесу в Україні та підвищення його конкурентоспроможності. Хмельницький, 2014. 27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10. Долинська О. Бальнеологічні ресурси Хмельницької області. Географія і туризм. 2016. Вип. 37. С. 110–119.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11. Долинська О. О. Соціально-географічний аналіз функціонування туристично-регіонального комплексу Хмельницької області. Географія та туризм: наук. зб. / ред. кол.: О. О. Любіцева (відп. ред.) та ін. Київ: Альфа-ПІК, 2019. Вип. 51. С. 29‒36.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12. Долинська О. О. Особливості туризму Хмельницької області. Вісник Київського національного університету імені Тараса Шевченка. Географія. 2017. № 1–2 (66–67). С. 146–149.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13. Долинська О. О. SWOT-аналіз конкурентоспроможності </w:t>
      </w:r>
      <w:proofErr w:type="gramStart"/>
      <w:r>
        <w:rPr>
          <w:rFonts w:ascii="Times New Roman" w:hAnsi="Times New Roman"/>
          <w:sz w:val="28"/>
        </w:rPr>
        <w:t>на ринку</w:t>
      </w:r>
      <w:proofErr w:type="gramEnd"/>
      <w:r>
        <w:rPr>
          <w:rFonts w:ascii="Times New Roman" w:hAnsi="Times New Roman"/>
          <w:sz w:val="28"/>
        </w:rPr>
        <w:t xml:space="preserve"> туристичних послуг Хмельницької області. Наук. вісник Херсонського держ. ун-ту. Сер.: Географічні науки. Херсон, 2019. № 11. С. 124–130.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14. Долинська О. О. Перспективи розвитку туристичної галузі в Хмельницькій області. Молоді науковці – географічній науці: зб. наук. праць ХІ Всеукр. </w:t>
      </w:r>
      <w:proofErr w:type="gramStart"/>
      <w:r>
        <w:rPr>
          <w:rFonts w:ascii="Times New Roman" w:hAnsi="Times New Roman"/>
          <w:sz w:val="28"/>
        </w:rPr>
        <w:t>наук.-</w:t>
      </w:r>
      <w:proofErr w:type="gramEnd"/>
      <w:r>
        <w:rPr>
          <w:rFonts w:ascii="Times New Roman" w:hAnsi="Times New Roman"/>
          <w:sz w:val="28"/>
        </w:rPr>
        <w:t xml:space="preserve">практ. конф. студентів, аспірантів та молодих вчених. Київ: Прінт Сервіс, 2015. Вип. ХІ. С. 126–128.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15. Долинська О. О. Транспортна комунікативність як фактор розвитку туризму Хмельницької області. Вісник Хмельницького нац. ун-ту. Економічні науки. 2017. Т. 1. № 3. С. 169–173. </w:t>
      </w:r>
    </w:p>
    <w:p w:rsidR="007155E9" w:rsidRDefault="002874A3">
      <w:pPr>
        <w:shd w:val="clear" w:color="auto" w:fill="FFFFFF"/>
        <w:spacing w:after="0" w:line="360" w:lineRule="auto"/>
        <w:ind w:firstLine="720"/>
        <w:jc w:val="both"/>
        <w:rPr>
          <w:rFonts w:ascii="Times New Roman" w:hAnsi="Times New Roman"/>
          <w:sz w:val="28"/>
        </w:rPr>
      </w:pPr>
      <w:r>
        <w:rPr>
          <w:rFonts w:ascii="Times New Roman" w:hAnsi="Times New Roman"/>
          <w:sz w:val="28"/>
        </w:rPr>
        <w:t xml:space="preserve">16. </w:t>
      </w:r>
      <w:r>
        <w:rPr>
          <w:rFonts w:ascii="Times New Roman" w:hAnsi="Times New Roman"/>
          <w:sz w:val="28"/>
          <w:shd w:val="clear" w:color="auto" w:fill="FFFFFF"/>
        </w:rPr>
        <w:t xml:space="preserve">Долинська О. О. Туристичний комплекс Хмельницької області: сучасний стан та перспективи </w:t>
      </w:r>
      <w:proofErr w:type="gramStart"/>
      <w:r>
        <w:rPr>
          <w:rFonts w:ascii="Times New Roman" w:hAnsi="Times New Roman"/>
          <w:sz w:val="28"/>
          <w:shd w:val="clear" w:color="auto" w:fill="FFFFFF"/>
        </w:rPr>
        <w:t>розвитку :</w:t>
      </w:r>
      <w:proofErr w:type="gramEnd"/>
      <w:r>
        <w:rPr>
          <w:rFonts w:ascii="Times New Roman" w:hAnsi="Times New Roman"/>
          <w:sz w:val="28"/>
          <w:shd w:val="clear" w:color="auto" w:fill="FFFFFF"/>
        </w:rPr>
        <w:t xml:space="preserve"> дис. ...д-ра </w:t>
      </w:r>
      <w:proofErr w:type="gramStart"/>
      <w:r>
        <w:rPr>
          <w:rFonts w:ascii="Times New Roman" w:hAnsi="Times New Roman"/>
          <w:sz w:val="28"/>
          <w:shd w:val="clear" w:color="auto" w:fill="FFFFFF"/>
        </w:rPr>
        <w:t>філософії :</w:t>
      </w:r>
      <w:proofErr w:type="gramEnd"/>
      <w:r>
        <w:rPr>
          <w:rFonts w:ascii="Times New Roman" w:hAnsi="Times New Roman"/>
          <w:sz w:val="28"/>
          <w:shd w:val="clear" w:color="auto" w:fill="FFFFFF"/>
        </w:rPr>
        <w:t xml:space="preserve"> 103 / Долинська Олеся Олегівна. - Київ, 2020. - 245 с.</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17. Долинська О. О., Шоробура І. М. Туризм Хмельниччини. Проблеми безперервної географічної освіти і картографії: зб. наук. пр. Харків: ХНУ імені В. Н. Каразіна, 2017. Вип. 25. С. 69–73. 181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18. Журба І. Є. Економіко-географічні засади раціонального природокористування в регіоні (на прикладі Хмельницької області): автореф. </w:t>
      </w:r>
      <w:r>
        <w:rPr>
          <w:rFonts w:ascii="Times New Roman" w:hAnsi="Times New Roman"/>
          <w:sz w:val="28"/>
        </w:rPr>
        <w:lastRenderedPageBreak/>
        <w:t xml:space="preserve">дис. ... канд. геогр. наук: 11.00.02. Львів: Львів. нац. ун-т ім. Івана Франка, 2002. 17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19. Заблотовська Н. В., Левіцька І. В. Формування та розвиток Хмельницької міжрайонної системи розселення. Потенціал сучасної географії у розв’язанні проблем розвитку регіонів: матеріали міжнар. </w:t>
      </w:r>
      <w:proofErr w:type="gramStart"/>
      <w:r>
        <w:rPr>
          <w:rFonts w:ascii="Times New Roman" w:hAnsi="Times New Roman"/>
          <w:sz w:val="28"/>
        </w:rPr>
        <w:t>Наук.-</w:t>
      </w:r>
      <w:proofErr w:type="gramEnd"/>
      <w:r>
        <w:rPr>
          <w:rFonts w:ascii="Times New Roman" w:hAnsi="Times New Roman"/>
          <w:sz w:val="28"/>
        </w:rPr>
        <w:t xml:space="preserve">практ. конф. молодих вчених, присвяченої 95-річчю Національної академії наук України. (Київ, 3–5 жовт. 2013 р.). Київ: Логос, 2013. С. 62–66.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20. Закон України «Про туризм» / </w:t>
      </w:r>
      <w:hyperlink r:id="rId31" w:history="1">
        <w:r>
          <w:rPr>
            <w:rStyle w:val="af3"/>
            <w:rFonts w:ascii="Times New Roman" w:hAnsi="Times New Roman"/>
            <w:color w:val="auto"/>
            <w:sz w:val="28"/>
            <w:u w:val="none"/>
          </w:rPr>
          <w:t>https://ips.ligazakon.net/document</w:t>
        </w:r>
      </w:hyperlink>
      <w:r>
        <w:rPr>
          <w:rFonts w:ascii="Times New Roman" w:hAnsi="Times New Roman"/>
          <w:color w:val="0000FF"/>
          <w:sz w:val="28"/>
        </w:rPr>
        <w:t xml:space="preserve"> </w:t>
      </w:r>
      <w:r>
        <w:rPr>
          <w:rFonts w:ascii="Times New Roman" w:hAnsi="Times New Roman"/>
          <w:sz w:val="28"/>
        </w:rPr>
        <w:t>/Z950324?an=1.</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21. Кіптенко В. К., Маденко О. В. Перспективні напрями сталого розвитку туризму у Хмельницький області. Географія і туризм. 2013. Вип. 23. С. 167–175.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22. Ковтуник І. І. Кліматичні курорти Хмельницької області. Агросвіт. 2018. № 22. С. 42–46.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23. Конституція України </w:t>
      </w:r>
      <w:r>
        <w:rPr>
          <w:rFonts w:ascii="Times New Roman" w:hAnsi="Times New Roman"/>
          <w:sz w:val="28"/>
          <w:shd w:val="clear" w:color="auto" w:fill="FFFFFF"/>
        </w:rPr>
        <w:t>//Відомості Верховної Ради України (ВВР), 1996, № 30, ст. 141.</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24. Любіцева О. О. До питання термінології в туризмі. Географія та туризм. 2010. Вип. 3. С. 7–10.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25. Любіцева О. О. Концепція формування опорного туристичного каркасу як основа впровадження стратегії сталого розвитку туризму в Україні. Географія та туризм. 2011. Вип. 14. С. 3–8.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26. Любіцева О. О. Ринок туристичних послуг: геопросторові аспекти. Київ: Альтерпрес, 2002. 320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27. Малиновська О. Ю., Долгова К. С. Ринок дитячого туризму: інноваційні форми організації відпочинку. Географія та туризм. 2013. Вип. 24. С. 60–69.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28. Мальська М., Зінько Ю. Типи і моделі кластерів сільського туризму в Україні. Вісник Київського національного університету культури і мистецтв. Сер.: Туризм. 2018. Вип. 2. С. 8–22.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29. Мацола В. І. Рекреаційно-туристичний комплекс України. Львів: Інститут регіональних досліджень НАН України, 1997. 259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30. Мезенцев К. В., Сайчук В. С. Структура населення Хмельницької області як чинник функціонування та розвитку регіонального ринку праці. Наук. записки Вінницьк. держ. педагог. ун-ту ім. М. Коцюбинського. Сер.: Географія. 2010. Вип. 20. С. 198–205.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31. Нич Т. В. Освітній комплекс Хмельницької області: сучасний стан і перспективи розвитку. Географія і туризм. 2015. Вип. 32. С. 160–168.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32. Новосад Н. О. В’їзний туризм України: суспільно-географічний вимір: автореф. дис. ... канд. геогр. наук: 11.00.02 / Київ. нац. ун-т ім. Т. Шевченка. Київ, 2012. 20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33. Олійник Я. Б., Ободовська В. О. Регіональна туристична політика Республіки Польща. Вісник Київ. нац. ун-ту ім. Т. Шевченка. Сер.: Географія. 2015. Вип. 1 (63). С. 73–76.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34. Парфіненко А. Ю., Босенко К. І. Кластеризація як напрям рекреаційно-туристичного розвитку Подільського регіону України. Вісник Харків. нац. ун-ту ім. В.Н. Каразіна. Сер.: Міжн. відносини. Економіка. Країнознавство. Туризм. 2018. Вип. 7. С. 122–129.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35. Парфіненко А. Ю. Туристичне країнознавство: навч. посіб. Харків: Бурун-книга, 2009. 288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36. Пасічник В. Р., Сушик О. Г., Терлецький В. К. Сільський зелений туризм як фактор відродження українського села та перебудови сільської економіки. Географія та туризм. 2012. Вип. 22. С. 78–87.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37. Підлісецька І. О., Дмитрук О. М. Картографічне дослідження історико-культурної спадщини Хмельницької області. Часопис картографії. 2013. Вип. 6. С. 43-51.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38. Поліщук В. С. Відновлення і збереження пам’яток фортифікаційної архітектури як засіб розвитку туризму в Хмельницькій області. Вісник Кам’янець-Подільського нац. ун-ту ім. І. Огієнка. Історичні науки. 2017. Вип. 10. С. 370–376.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39. Положення про Відділ охорони культурної спадщини Кам’янець-Подільської міської ради / </w:t>
      </w:r>
      <w:hyperlink r:id="rId32" w:history="1">
        <w:r>
          <w:rPr>
            <w:rStyle w:val="af3"/>
            <w:rFonts w:ascii="Times New Roman" w:hAnsi="Times New Roman"/>
            <w:color w:val="auto"/>
            <w:sz w:val="28"/>
          </w:rPr>
          <w:t>https://kam-pod.gov.ua/spmr/pidrozdili-miskoji-radi/item</w:t>
        </w:r>
      </w:hyperlink>
      <w:r>
        <w:rPr>
          <w:rFonts w:ascii="Times New Roman" w:hAnsi="Times New Roman"/>
          <w:sz w:val="28"/>
        </w:rPr>
        <w:t xml:space="preserve"> /230-viddil-z-okhorony-kulturnoi-spadshchyny.</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40. Положення про Управління культури Нетішинської міської ради / https://www.netishynrada.gov.ua/stryktyra/vorg.</w:t>
      </w:r>
    </w:p>
    <w:p w:rsidR="007155E9" w:rsidRDefault="002874A3">
      <w:pPr>
        <w:pStyle w:val="rtecenter"/>
        <w:shd w:val="clear" w:color="auto" w:fill="FFFFFF"/>
        <w:spacing w:before="0" w:beforeAutospacing="0" w:after="0" w:afterAutospacing="0" w:line="360" w:lineRule="auto"/>
        <w:ind w:firstLine="720"/>
        <w:jc w:val="both"/>
        <w:rPr>
          <w:sz w:val="28"/>
        </w:rPr>
      </w:pPr>
      <w:r>
        <w:rPr>
          <w:sz w:val="28"/>
        </w:rPr>
        <w:t xml:space="preserve">41. Положення про Управління культури і туризму Хмельницької міської ради (рішення двадцять п’ятої сесії № 12 від 10.10.2018 р.) / </w:t>
      </w:r>
      <w:hyperlink r:id="rId33" w:history="1">
        <w:r>
          <w:rPr>
            <w:rStyle w:val="af3"/>
            <w:color w:val="auto"/>
            <w:sz w:val="28"/>
          </w:rPr>
          <w:t>https://www.khm</w:t>
        </w:r>
      </w:hyperlink>
      <w:r>
        <w:rPr>
          <w:sz w:val="28"/>
        </w:rPr>
        <w:t>. gov.ua/uk/content/pro-vnesennya-zmin-ta-dopovnen-do-polozhennya-pro-upravlinnya -kultury-i-turyzmu-0.</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42. Рідний край – Хмельниччина: посіб. / Гільберг Т. Г., Шоробура І. М., Долинська О. О. Хмельницький: Видавець ФОП Цюпак А. А. 2013. 178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43. Рутинський М. Й. Географія туризму: стан, вектори й актуальні тенденції розвитку в ХХІ столітті. Вісник Львів. ун-ту. Сер.: географ. 2016. Вип. 60. С. 318–336.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44. Сировець С. Ю. Рекреаційно-туристична діяльність в системі сталого розвитку регіону. Географія та туризм. 2010. Вип. 3. С. 84–87.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45. Смірнов І. Г. Історико-архітектурний заповідник «Кам’янець» як туристичне диво України: логістичний вимір. Наук. записки Тернопіль. нац. педагог. ун-ту ім. В. Гнатюка. Сер.: Географія. 2011. № 2. С. 8–16.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46. Смірнов І. Г. Логістика в ресторанному бізнесі як складник логістики туризму. Географія та туризм. 2010. Вип. 8. С. 149–168.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47. Смірнов І. Г. Логістичний аспект туристичних чудес України: заповідник «Кам’янець». Географія та туризм. 2011. Вип. 11. С. 136–148.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48. Смірнов І. Г. Національний істерико-архітектурний заповідник «Кам’янець»: давньоримський слід. Географія і туризм. 2011. Вип. 13. С. 9–13.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49. Смірнов І. Г. Національний історико-культурний заповідник «Кам’янець-на-Поділлі»: транспортно-логістичний аспект та його відображення на картах-портоланах. Часопис картографії. 2011. Вип. 2. С. 95–110.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50. Смірнов І. Г. Стратегічний логістичний менеджмент у міжнародному туризмі в контексті його сталого розвитку. Географія та туризм. 2010. Вип. 9. С. 12–27.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51. Тимчишин-Чемерис Ю. В. Туристичний кластер – форма розвитку та успіху туристичної діяльності регіону. Вісник аграрної науки Причорномор’я. 2015. Вип. 4. C. 44–57.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52. Туризм і охорона культурної спадщини: український та польський досвід / В. Вакуленко, І. Валентюк, В. Грибан та ін. Київ: К.І.С., 2003. 176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53. Туристичне країнознавство: країни лідери туризму: навч. посіб. / під ред.: О.О. Любіцевої. К.: Альт-прес, 2008. 436 с.</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54. Туристичний кластер задля розвитку громади / офіційний сайт урядової програми децентралізації. URL: https://decentralization.gov.ua/news/9751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55. Хмельницкий спелеоклуб «Атлантида». URL: </w:t>
      </w:r>
      <w:hyperlink r:id="rId34" w:history="1">
        <w:r>
          <w:rPr>
            <w:rStyle w:val="af3"/>
            <w:rFonts w:ascii="Times New Roman" w:hAnsi="Times New Roman"/>
            <w:color w:val="auto"/>
            <w:sz w:val="28"/>
          </w:rPr>
          <w:t>http://atlantidaspeleo</w:t>
        </w:r>
      </w:hyperlink>
      <w:r>
        <w:rPr>
          <w:rFonts w:ascii="Times New Roman" w:hAnsi="Times New Roman"/>
          <w:sz w:val="28"/>
        </w:rPr>
        <w:t xml:space="preserve">. com.ua.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56. Хмельниччина туристична: історико-культурні, природногеографічні та економічні аспекти розвитку: колективна моногр. / за ред. С. А. Копилова. Кам’янець-Подільський: Кам’янець-Подільський нац. ун-т ім. Івана Огієнка, 2015. 192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57. Хмельниччина: туристичний потенціал: наук. вид. / Шоробура І. М., Гільберг Т. Г., Долинська О. О. – Хмельницький: Видавець ФОП Заколодний М. І., 2016. 281 с.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 xml:space="preserve">58. Чеченя О. В. Фактори впливу на галузь туризму. Географія та туризм. 2011. Вип. 16. С. 116–122.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59. Шоробура І. М., Долинська О. О. Аналіз показників сучасного соціально-економічного розвитку Хмельницької області. Наукова весна: матеріали V-ї Всеукр. </w:t>
      </w:r>
      <w:proofErr w:type="gramStart"/>
      <w:r>
        <w:rPr>
          <w:rFonts w:ascii="Times New Roman" w:hAnsi="Times New Roman"/>
          <w:sz w:val="28"/>
        </w:rPr>
        <w:t>наук.-</w:t>
      </w:r>
      <w:proofErr w:type="gramEnd"/>
      <w:r>
        <w:rPr>
          <w:rFonts w:ascii="Times New Roman" w:hAnsi="Times New Roman"/>
          <w:sz w:val="28"/>
        </w:rPr>
        <w:t xml:space="preserve">техн. конф. студентів, аспірантів і молодих учених (Дніпропетровськ, 26–27 берез. 2014 р.). Дніпропетровськ: Держ. ВНЗ «Нац. гірничий ун-т»,2014. С. 425–426.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60. Шоробура І. М., Долинська О. О. Організація та проведення музейної практики у Хмельницькій гуманітарно-педагогічній академії. Педагогічна практика як перша ланка практичного засвоєння педагогічної професії: матеріали міжвуз. (заоч.) </w:t>
      </w:r>
      <w:proofErr w:type="gramStart"/>
      <w:r>
        <w:rPr>
          <w:rFonts w:ascii="Times New Roman" w:hAnsi="Times New Roman"/>
          <w:sz w:val="28"/>
        </w:rPr>
        <w:t>наук.-</w:t>
      </w:r>
      <w:proofErr w:type="gramEnd"/>
      <w:r>
        <w:rPr>
          <w:rFonts w:ascii="Times New Roman" w:hAnsi="Times New Roman"/>
          <w:sz w:val="28"/>
        </w:rPr>
        <w:t xml:space="preserve">практ. конф. (до 95-річчя Хмельницької гуманітарнно-педагогічної академії) (Хмельницький, 15 берез. 2016 р.) / укл. Н. В. Казакова, Н. А. Сівак, І. П. Ящук. Хмельницький: ФОП «О. М. Казаков», 2016. С. 249–252.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61. Шоробура І. М., Долинська О. О. Проблеми підвищення рівня життя населення Хмельницької області. Географічна наука і практика: виклики епохи: матеріали міжнарод. наук. конф., присвяченої 130-річчю географії у Львівському університеті (Львів, 16‒18 трав. 2013 р.) Львів: Видавничий центр ЛНУ ім. І. Франка, 2013. Т. 1. С. 238–241.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62. Шоробура І. М., Долинська О. О. Туризм Хмельниччини. Проблеми безперервної географічної освіти і картографії. 2017. Вип. 25. С. 69–73.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63. Шульга В. П. Стратегічне управління розвитком екологічного туризму у контексті рекреаційного природокористування. Географія та туризм. 2012. Вип. 22. С. 42–51. </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 xml:space="preserve">64. Щепанський Е. В. Науково-методичні засади стимулювання розвитку туристично-рекреаційного комплексу регіону: автореф. дис. ... канд. екон. наук: 08.10.01 / </w:t>
      </w:r>
      <w:proofErr w:type="gramStart"/>
      <w:r>
        <w:rPr>
          <w:rFonts w:ascii="Times New Roman" w:hAnsi="Times New Roman"/>
          <w:sz w:val="28"/>
        </w:rPr>
        <w:t>Наук.-</w:t>
      </w:r>
      <w:proofErr w:type="gramEnd"/>
      <w:r>
        <w:rPr>
          <w:rFonts w:ascii="Times New Roman" w:hAnsi="Times New Roman"/>
          <w:sz w:val="28"/>
        </w:rPr>
        <w:t>дослід. екон. ін-т М-ва економіки та з питань європ. інтеграції України. Київ, 2003. 17 c.</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lastRenderedPageBreak/>
        <w:t>65. Долинська О.О. Туристичний комплекс хмельницької області: сучасний стан та перспективи розвитку. 2016. С. 42–43.</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66. Долинська О.О. Туристичний комплекс хмельницької області: сучасний стан та перспективи розвитку. 2016. С. 47–49.</w:t>
      </w:r>
    </w:p>
    <w:p w:rsidR="007155E9" w:rsidRDefault="002874A3">
      <w:pPr>
        <w:spacing w:after="0" w:line="360" w:lineRule="auto"/>
        <w:ind w:firstLine="720"/>
        <w:jc w:val="both"/>
        <w:rPr>
          <w:rFonts w:ascii="Times New Roman" w:hAnsi="Times New Roman"/>
          <w:sz w:val="28"/>
        </w:rPr>
      </w:pPr>
      <w:r>
        <w:rPr>
          <w:rFonts w:ascii="Times New Roman" w:hAnsi="Times New Roman"/>
          <w:sz w:val="28"/>
        </w:rPr>
        <w:t>67. Долинська О.О. Туристичний комплекс хмельницької області: сучасний стан та перспективи розвитку. 2016. С. 53–63.</w:t>
      </w: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ind w:firstLine="720"/>
        <w:jc w:val="both"/>
        <w:rPr>
          <w:rFonts w:ascii="Times New Roman" w:hAnsi="Times New Roman"/>
          <w:sz w:val="28"/>
        </w:rPr>
      </w:pPr>
    </w:p>
    <w:p w:rsidR="007155E9" w:rsidRDefault="007155E9">
      <w:pPr>
        <w:spacing w:after="0" w:line="360" w:lineRule="auto"/>
        <w:jc w:val="center"/>
        <w:rPr>
          <w:rFonts w:ascii="Times New Roman" w:hAnsi="Times New Roman"/>
          <w:b/>
          <w:sz w:val="28"/>
        </w:rPr>
      </w:pPr>
    </w:p>
    <w:p w:rsidR="007155E9" w:rsidRDefault="007155E9">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146490" w:rsidRDefault="00146490">
      <w:pPr>
        <w:spacing w:after="0" w:line="360" w:lineRule="auto"/>
        <w:jc w:val="center"/>
        <w:rPr>
          <w:rFonts w:ascii="Times New Roman" w:hAnsi="Times New Roman"/>
          <w:b/>
          <w:sz w:val="28"/>
        </w:rPr>
      </w:pPr>
    </w:p>
    <w:p w:rsidR="007155E9" w:rsidRDefault="002874A3">
      <w:pPr>
        <w:spacing w:after="0" w:line="360" w:lineRule="auto"/>
        <w:jc w:val="center"/>
        <w:rPr>
          <w:rFonts w:ascii="Times New Roman" w:hAnsi="Times New Roman"/>
          <w:b/>
          <w:sz w:val="28"/>
        </w:rPr>
      </w:pPr>
      <w:r>
        <w:rPr>
          <w:rFonts w:ascii="Times New Roman" w:hAnsi="Times New Roman"/>
          <w:b/>
          <w:sz w:val="28"/>
        </w:rPr>
        <w:lastRenderedPageBreak/>
        <w:t>ДОДАТКИ</w:t>
      </w:r>
    </w:p>
    <w:p w:rsidR="007155E9" w:rsidRDefault="002874A3">
      <w:pPr>
        <w:spacing w:after="0" w:line="360" w:lineRule="auto"/>
        <w:jc w:val="center"/>
        <w:rPr>
          <w:rFonts w:ascii="Times New Roman" w:hAnsi="Times New Roman"/>
          <w:b/>
          <w:sz w:val="28"/>
        </w:rPr>
      </w:pPr>
      <w:r>
        <w:rPr>
          <w:rFonts w:ascii="Times New Roman" w:hAnsi="Times New Roman"/>
          <w:b/>
          <w:sz w:val="28"/>
        </w:rPr>
        <w:t>Додаток А</w:t>
      </w:r>
    </w:p>
    <w:p w:rsidR="007155E9" w:rsidRDefault="002874A3">
      <w:pPr>
        <w:shd w:val="clear" w:color="auto" w:fill="FFFFFF"/>
        <w:spacing w:after="0" w:line="240" w:lineRule="auto"/>
        <w:ind w:firstLine="720"/>
        <w:jc w:val="right"/>
        <w:rPr>
          <w:rFonts w:ascii="Times New Roman" w:hAnsi="Times New Roman"/>
          <w:sz w:val="28"/>
        </w:rPr>
      </w:pPr>
      <w:r>
        <w:rPr>
          <w:rFonts w:ascii="Times New Roman" w:hAnsi="Times New Roman"/>
          <w:i/>
          <w:sz w:val="28"/>
        </w:rPr>
        <w:t>Додаток</w:t>
      </w:r>
    </w:p>
    <w:p w:rsidR="007155E9" w:rsidRDefault="002874A3">
      <w:pPr>
        <w:shd w:val="clear" w:color="auto" w:fill="FFFFFF"/>
        <w:spacing w:after="0" w:line="240" w:lineRule="auto"/>
        <w:ind w:firstLine="720"/>
        <w:jc w:val="right"/>
        <w:rPr>
          <w:rFonts w:ascii="Times New Roman" w:hAnsi="Times New Roman"/>
          <w:sz w:val="28"/>
        </w:rPr>
      </w:pPr>
      <w:r>
        <w:rPr>
          <w:rFonts w:ascii="Times New Roman" w:hAnsi="Times New Roman"/>
          <w:i/>
          <w:sz w:val="28"/>
        </w:rPr>
        <w:t>до рішення сесії міської ради</w:t>
      </w:r>
    </w:p>
    <w:p w:rsidR="007155E9" w:rsidRDefault="002874A3">
      <w:pPr>
        <w:shd w:val="clear" w:color="auto" w:fill="FFFFFF"/>
        <w:spacing w:after="0" w:line="240" w:lineRule="auto"/>
        <w:ind w:firstLine="720"/>
        <w:jc w:val="right"/>
        <w:rPr>
          <w:rFonts w:ascii="Times New Roman" w:hAnsi="Times New Roman"/>
          <w:sz w:val="28"/>
        </w:rPr>
      </w:pPr>
      <w:r>
        <w:rPr>
          <w:rFonts w:ascii="Times New Roman" w:hAnsi="Times New Roman"/>
          <w:i/>
          <w:sz w:val="28"/>
        </w:rPr>
        <w:t>від 10.10.2018р. №12</w:t>
      </w:r>
    </w:p>
    <w:p w:rsidR="007155E9" w:rsidRDefault="002874A3">
      <w:pPr>
        <w:shd w:val="clear" w:color="auto" w:fill="FFFFFF"/>
        <w:spacing w:after="0" w:line="240" w:lineRule="auto"/>
        <w:jc w:val="center"/>
        <w:rPr>
          <w:rFonts w:ascii="Times New Roman" w:hAnsi="Times New Roman"/>
          <w:sz w:val="28"/>
        </w:rPr>
      </w:pPr>
      <w:r>
        <w:rPr>
          <w:rFonts w:ascii="Times New Roman" w:hAnsi="Times New Roman"/>
          <w:b/>
          <w:sz w:val="28"/>
        </w:rPr>
        <w:t>ПОЛОЖЕННЯ</w:t>
      </w:r>
    </w:p>
    <w:p w:rsidR="007155E9" w:rsidRDefault="002874A3">
      <w:pPr>
        <w:shd w:val="clear" w:color="auto" w:fill="FFFFFF"/>
        <w:spacing w:after="0" w:line="240" w:lineRule="auto"/>
        <w:jc w:val="center"/>
        <w:rPr>
          <w:rFonts w:ascii="Times New Roman" w:hAnsi="Times New Roman"/>
          <w:sz w:val="28"/>
        </w:rPr>
      </w:pPr>
      <w:r>
        <w:rPr>
          <w:rFonts w:ascii="Times New Roman" w:hAnsi="Times New Roman"/>
          <w:b/>
          <w:sz w:val="28"/>
        </w:rPr>
        <w:t>про управління культури і туризму Хмельницької міської ради</w:t>
      </w:r>
    </w:p>
    <w:p w:rsidR="007155E9" w:rsidRDefault="002874A3">
      <w:pPr>
        <w:shd w:val="clear" w:color="auto" w:fill="FFFFFF"/>
        <w:spacing w:after="0" w:line="240" w:lineRule="auto"/>
        <w:jc w:val="center"/>
        <w:rPr>
          <w:rFonts w:ascii="Times New Roman" w:hAnsi="Times New Roman"/>
          <w:sz w:val="28"/>
        </w:rPr>
      </w:pPr>
      <w:r>
        <w:rPr>
          <w:rFonts w:ascii="Times New Roman" w:hAnsi="Times New Roman"/>
          <w:b/>
          <w:sz w:val="28"/>
        </w:rPr>
        <w:t>(нова редакція)</w:t>
      </w:r>
    </w:p>
    <w:p w:rsidR="007155E9" w:rsidRDefault="002874A3">
      <w:pPr>
        <w:shd w:val="clear" w:color="auto" w:fill="FFFFFF"/>
        <w:spacing w:after="0" w:line="240" w:lineRule="auto"/>
        <w:jc w:val="center"/>
        <w:rPr>
          <w:rFonts w:ascii="Times New Roman" w:hAnsi="Times New Roman"/>
          <w:sz w:val="28"/>
        </w:rPr>
      </w:pPr>
      <w:r>
        <w:rPr>
          <w:rFonts w:ascii="Times New Roman" w:hAnsi="Times New Roman"/>
          <w:b/>
          <w:sz w:val="28"/>
        </w:rPr>
        <w:t>2018 рік</w:t>
      </w:r>
    </w:p>
    <w:tbl>
      <w:tblPr>
        <w:tblStyle w:val="13"/>
        <w:tblW w:w="0" w:type="auto"/>
        <w:tblLook w:val="04A0" w:firstRow="1" w:lastRow="0" w:firstColumn="1" w:lastColumn="0" w:noHBand="0" w:noVBand="1"/>
      </w:tblPr>
      <w:tblGrid>
        <w:gridCol w:w="2629"/>
        <w:gridCol w:w="7051"/>
      </w:tblGrid>
      <w:tr w:rsidR="007155E9">
        <w:trPr>
          <w:trHeight w:val="11550"/>
        </w:trPr>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r>
              <w:rPr>
                <w:rFonts w:ascii="Times New Roman" w:hAnsi="Times New Roman"/>
                <w:b/>
                <w:sz w:val="28"/>
              </w:rPr>
              <w:lastRenderedPageBreak/>
              <w:t>Розділ 1. Загальні положення</w:t>
            </w:r>
          </w:p>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1.1. Управління культури і туризму Хмельницької міської ради (далі – Управління) є виконавчим органом міської ради. Місцезнаходження Управління: м. Хмельницький, вул. Проскурівська, 30.</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1.2. Управління підзвітне і підконтрольне міській раді та підпорядковане виконавчому комітету, міському голові. Утримується за рахунок міського бюджету </w:t>
            </w:r>
            <w:r>
              <w:rPr>
                <w:rFonts w:ascii="Times New Roman" w:hAnsi="Times New Roman"/>
                <w:b/>
                <w:sz w:val="28"/>
              </w:rPr>
              <w:t>та інших джерел, не заборонених законодавством України</w:t>
            </w:r>
            <w:r>
              <w:rPr>
                <w:rFonts w:ascii="Times New Roman" w:hAnsi="Times New Roman"/>
                <w:sz w:val="28"/>
              </w:rPr>
              <w:t>. Загальна чисельність працівників управління встановлюється міською радою.</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1.3. Управління у своїй діяльності керується Конституцією України, Конвенцією про захист прав людини і основоположних свобод, Європейською хартією місцевого самоврядування, іншими міжнародними договорами та правовими актами, ратифікованими Верховною Радою України, законами України «Про місцеве самоврядування в Україні», «Про службу в органах місцевого самоврядування», «Про державну службу», «Про культуру», «Про бібліотеки та бібліотечну справу», «Про музеї і музейну справу», «Про охорону культурної спадщини», «Про туризм» та іншими законами України з питань організації та діяльності органів місцевого самоврядування, постановами Верховної Ради України, Указами Президента України, декретами, постановами і розпорядженнями Кабінету Міністрів України, нормативними актами інших центральних органів виконавчої влади, Статутом територіальної громади міста Хмельницького, рішеннями міської ради та її виконавчого комітету, розпорядженнями міського голови, а також цим Положенням.</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1.4. Управління забезпечує </w:t>
            </w:r>
            <w:proofErr w:type="gramStart"/>
            <w:r>
              <w:rPr>
                <w:rFonts w:ascii="Times New Roman" w:hAnsi="Times New Roman"/>
                <w:sz w:val="28"/>
              </w:rPr>
              <w:t>у межах</w:t>
            </w:r>
            <w:proofErr w:type="gramEnd"/>
            <w:r>
              <w:rPr>
                <w:rFonts w:ascii="Times New Roman" w:hAnsi="Times New Roman"/>
                <w:sz w:val="28"/>
              </w:rPr>
              <w:t xml:space="preserve"> своїх повноважень реалізацію Політики і цілей у сфері управління якістю та функціонування Системи управління якістю.</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1.5. Управління є юридичною особою, має самостійний баланс, рахунки в органах Державного казначейства, круглу печатку із зображенням Державного Герба України та своїм найменуванням, кутовий штамп, бланки із своїми реквізитами.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lastRenderedPageBreak/>
              <w:t>1.6. Для забезпечення діяльності управління, його структурних підрозділів за управлінням закріплюється майно, що є комунальною власністю, і перебуває в оперативному управлінні (користуванні).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 Управлінню підпорядковані комунальні підприємства, організації та установи культури і мистецтва згідно з переліком:</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 міський будинок культури;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1.7.2. центр національного виховання учнівської молоді;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1.7.3. культурно-мистецький центр «Ветеран»;</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1.7.4. клуб «Книжківці»;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1.7.5. музей історії міста Хмельницького;</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1.7.5.1. філія музею історії міста Хмельницького – музей Проскурівського підпілля;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1.7.6. музей-студія фотомистецтва;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1.7.7. централізована бібліотечна система;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1.7.8. дитяча школа мистецтв;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1.7.8.1. філія дитячої школи мистецтв у Південно-Західному мікрорайоні;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1.7.9. дитяча школа мистецтв «Райдуга»;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1.7.10. дитяча музична школа №1імені М.Мозгового;</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1.7.11. дитяча музична школа №2;</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1.7.12. дитяча музична школа №3;</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1.7.13. дитяча школа образотворчого та декоративно-прикладного мистецтва;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1.7.14. школа іконопису «Нікош»;</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1.7.15. муніципальний естрадно-духовий оркестр;</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1.7.16. муніципальний академічний камерний хор;</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1.7.17. міське комунальне підприємство «Кінотеатр імені Т.Г.Шевченка»;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1.7.18. міське комунальне підприємство «Моно-театр «Кут»;</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1.8. До сфери діяльності Управління належать культурно-мистецькі, туристичні заклади, підприємства, установи, громадські та інші організації, що здійснюють реалізацію державних програм розвитку культури і мистецтва, охорони культурної спадщини і туризму.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1.9. Управління є головним розпорядником коштів, які передбачені в бюджеті по галузі «Культура» та виконує </w:t>
            </w:r>
            <w:r>
              <w:rPr>
                <w:rFonts w:ascii="Times New Roman" w:hAnsi="Times New Roman"/>
                <w:sz w:val="28"/>
              </w:rPr>
              <w:lastRenderedPageBreak/>
              <w:t>функції головного розпорядника коштів згідно з Бюджетним Кодексом України.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1.10. Управління є неприбутковою організацією, утвореною та зареєстрованою </w:t>
            </w:r>
            <w:proofErr w:type="gramStart"/>
            <w:r>
              <w:rPr>
                <w:rFonts w:ascii="Times New Roman" w:hAnsi="Times New Roman"/>
                <w:sz w:val="28"/>
              </w:rPr>
              <w:t>в порядку</w:t>
            </w:r>
            <w:proofErr w:type="gramEnd"/>
            <w:r>
              <w:rPr>
                <w:rFonts w:ascii="Times New Roman" w:hAnsi="Times New Roman"/>
                <w:sz w:val="28"/>
              </w:rPr>
              <w:t>, визначеному Законом України «Про місцеве самоврядування в Україні».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1.11. Доходи Управління використовуються виключно для фінансування видатків на утримання та реалізації завдань Управління. Розподіл отриманих доходів або їх частин між засновником та працівниками (крім оплати їхньої праці, нарахування єдиного соціального внеску) та інших пов’язаних з ними осіб заборонено.</w:t>
            </w:r>
          </w:p>
          <w:p w:rsidR="007155E9" w:rsidRDefault="002874A3">
            <w:pPr>
              <w:shd w:val="clear" w:color="auto" w:fill="FFFFFF"/>
              <w:spacing w:after="0" w:line="240" w:lineRule="auto"/>
              <w:ind w:right="57"/>
              <w:jc w:val="both"/>
            </w:pPr>
            <w:r>
              <w:rPr>
                <w:rFonts w:ascii="Times New Roman" w:hAnsi="Times New Roman"/>
                <w:sz w:val="28"/>
              </w:rPr>
              <w:t>1.12. Управління у процесі виконання покладених на нього завдань взаємодіє з іншими відділами, управліннями та департаментами Хмельницької міської ради, органами державної виконавчої влади, а також підприємствами, установами, організаціями та об’єднаннями громадян.</w:t>
            </w:r>
          </w:p>
        </w:tc>
      </w:tr>
      <w:tr w:rsidR="007155E9">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r>
              <w:rPr>
                <w:rFonts w:ascii="Times New Roman" w:hAnsi="Times New Roman"/>
                <w:b/>
                <w:sz w:val="28"/>
              </w:rPr>
              <w:lastRenderedPageBreak/>
              <w:t>Розділ 2. Завдання Управління</w:t>
            </w:r>
          </w:p>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 Основними завданнями Управління є:</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 Участь у формуванні державної політики і забезпечення її реалізації у сфері культури, охорони культурної спадщини і туризму.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lastRenderedPageBreak/>
              <w:t xml:space="preserve">2.1.2. Здійснення на території міста контролю за виконанням Закону </w:t>
            </w:r>
            <w:proofErr w:type="gramStart"/>
            <w:r>
              <w:rPr>
                <w:rFonts w:ascii="Times New Roman" w:hAnsi="Times New Roman"/>
                <w:sz w:val="28"/>
              </w:rPr>
              <w:t>України  «</w:t>
            </w:r>
            <w:proofErr w:type="gramEnd"/>
            <w:r>
              <w:rPr>
                <w:rFonts w:ascii="Times New Roman" w:hAnsi="Times New Roman"/>
                <w:sz w:val="28"/>
              </w:rPr>
              <w:t>Про охорону культурної спадщини»,  інших нормативно - правових актів у цій сфері.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2.1.3. Реалізація основних напрямків державної політики у сфері охорони об'єктів культурної спадщини з урахуванням соціокультурного простору міста.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2.1.4. Формування в місті конкурентно-спроможного мистецького простору шляхом створення власного мистецького продукту, визначення перспектив і напрямків його розвитку, змісту початкової мистецької освіти, співпраці з міжнародними проектами і творчими організаціями.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2.1.5. Сприяння розвитку української національної культури, відродженню осередків традиційної народної творчості, національно-культурних традицій населення, художніх промислів, ремесел.</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2.1.6. Забезпечення вільного розвитку культурно-мистецьких процесів, доступності всіх видів культурних послуг і культурної діяльності для кожного громадянина.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2.1.7. Створення сприятливих умов для гармонійного та різнобічного розвитку дітей, молоді, задоволення їх потреб у добровільному виборі виду діяльності, не забороненому законодавством, активної участі у творчій, культурологічній, туристичній діяльності.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2.1.8. Забезпечення підготовки і проведення загальноміських культурно-мистецьких заходів, конкурсів, фестивалів, майстер-класів, концертів тощо, заходів щодо участі талановитих дітей та молоді в обласних, всеукраїнських та міжнародних конкурсах, фестивалях, конференціях, виставках.</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2.1.9. Сприяння захисту прав професійних творчих працівників та їх спілок, соціальному захисту працівників підприємств, закладів та організацій у сфері культури і туризму, а також споживачів культурного і туристичного продукту.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2.1.10.</w:t>
            </w:r>
            <w:r>
              <w:rPr>
                <w:rFonts w:ascii="Times New Roman" w:hAnsi="Times New Roman"/>
                <w:b/>
                <w:sz w:val="28"/>
              </w:rPr>
              <w:t> </w:t>
            </w:r>
            <w:r>
              <w:rPr>
                <w:rFonts w:ascii="Times New Roman" w:hAnsi="Times New Roman"/>
                <w:sz w:val="28"/>
              </w:rPr>
              <w:t xml:space="preserve">Забезпечення діяльності та розвитку базової мережі закладів культури шляхом створення умов щодо </w:t>
            </w:r>
            <w:r>
              <w:rPr>
                <w:rFonts w:ascii="Times New Roman" w:hAnsi="Times New Roman"/>
                <w:sz w:val="28"/>
              </w:rPr>
              <w:lastRenderedPageBreak/>
              <w:t>покращення якості та збільшення й урізноманітнення обсягу послуг населенню.</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2.1.11. Створення сприятливих умов для розвитку та утримання в належному стані соціальної та ринкової інфраструктури, проведення своєчасного ремонту та реконструкції об’єктів у сфері туризму і культури, залучення до цієї роботи інвесторів.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2.1.12. Розширення міжнародного та міжрегіонального співробітництва у сфері культури і туризму.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2.1.13. Сприяння діяльності громадських організацій, федерацій, товариств, благодійних фондів, тощо культурно-мистецької спрямованості, </w:t>
            </w:r>
            <w:proofErr w:type="gramStart"/>
            <w:r>
              <w:rPr>
                <w:rFonts w:ascii="Times New Roman" w:hAnsi="Times New Roman"/>
                <w:sz w:val="28"/>
              </w:rPr>
              <w:t>в першу</w:t>
            </w:r>
            <w:proofErr w:type="gramEnd"/>
            <w:r>
              <w:rPr>
                <w:rFonts w:ascii="Times New Roman" w:hAnsi="Times New Roman"/>
                <w:sz w:val="28"/>
              </w:rPr>
              <w:t xml:space="preserve"> чергу, молодіжних та дитячих.</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2.1.14. Підтримка обдарованих дітей, творчої і талановитої молоді, їх наставників та керівників художніх колективів.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2.1.15. Сприяння туристичному бізнесу в напрямку розвитку внутрішнього та іноземного туризму, залученню дітей та учнівської молоді </w:t>
            </w:r>
            <w:proofErr w:type="gramStart"/>
            <w:r>
              <w:rPr>
                <w:rFonts w:ascii="Times New Roman" w:hAnsi="Times New Roman"/>
                <w:sz w:val="28"/>
              </w:rPr>
              <w:t>до туризму</w:t>
            </w:r>
            <w:proofErr w:type="gramEnd"/>
            <w:r>
              <w:rPr>
                <w:rFonts w:ascii="Times New Roman" w:hAnsi="Times New Roman"/>
                <w:sz w:val="28"/>
              </w:rPr>
              <w:t>, створенню та популяризації самобутнього туристичного продукту міста. </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2.1.16. Забезпечення на території міста обліку, охорони, збереження та використання пам’яток історії та культури, доступу населення до об'єктів культурної спадщини.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2.1.17. Ознайомлення громадян з пам’ятками історії та культури, включення їх до туристичних маршрутів.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2.1.18. Збереження нематеріальної культурної спадщини, у т.ч. традиційної культури, мови, діалектів і говірок, фольклору, традицій, звичаїв та обрядів.</w:t>
            </w:r>
          </w:p>
          <w:p w:rsidR="007155E9" w:rsidRDefault="007155E9"/>
        </w:tc>
      </w:tr>
      <w:tr w:rsidR="007155E9">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center"/>
              <w:rPr>
                <w:rFonts w:ascii="Times New Roman" w:hAnsi="Times New Roman"/>
                <w:sz w:val="28"/>
              </w:rPr>
            </w:pPr>
            <w:r>
              <w:rPr>
                <w:rFonts w:ascii="Times New Roman" w:hAnsi="Times New Roman"/>
                <w:b/>
                <w:sz w:val="28"/>
              </w:rPr>
              <w:lastRenderedPageBreak/>
              <w:t>3. Повноваження Управління</w:t>
            </w:r>
          </w:p>
          <w:p w:rsidR="007155E9" w:rsidRDefault="007155E9"/>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 Відповідно до покладених завдань Управління: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 Створює умови для розвитку: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усіх видів професійного та аматорського мистецтва, художньої творчості, а також для організації культурного дозвілля населення, здобуття початкової мистецької освіти;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lastRenderedPageBreak/>
              <w:t>- соціальної та ринкової інфраструктури у сфері культури, підвищення рівня її матеріально-технічного забезпечення;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інфраструктури кіно та відео мережі, кіно та відео прокату;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внутрішнього та іноземного туризму, туристичної індустрії, провадження екскурсійної діяльності, а також залучення інвестицій у будівництво нових та реконструкцію старих діючих об’єктів туристичної інфраструктури.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 Сприяє:</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формуванню репертуару театрів, кінотеатрів, концертних організацій і мистецьких колективів, комплектуванню та оновленню фондів музеїв, картинних галерей, бібліотек, організації виставок, розповсюдженню кращих зразків національного кіномистецтва, відродженню та розвитку народних художніх промислів, збереженню культурної спадщини;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забезпеченню виконання Закону України «Про охорону культурної спадщини», інших нормативно-правових актів у сфері охорони культурної спадщини;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популяризації справи охорони культурної спадщини у місті, організації експозиційно-виставкової та видавничої діяльності у цій сфері;</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дотриманню режиму використання пам’яток місцевого значення, їх територій, зон охорони;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xml:space="preserve">- удосконаленню туристичної інфраструктури, розвитку ринкових відносин у сфері туризму та конкуренції </w:t>
            </w:r>
            <w:proofErr w:type="gramStart"/>
            <w:r>
              <w:rPr>
                <w:rFonts w:ascii="Times New Roman" w:hAnsi="Times New Roman"/>
                <w:sz w:val="28"/>
              </w:rPr>
              <w:t>на ринку</w:t>
            </w:r>
            <w:proofErr w:type="gramEnd"/>
            <w:r>
              <w:rPr>
                <w:rFonts w:ascii="Times New Roman" w:hAnsi="Times New Roman"/>
                <w:sz w:val="28"/>
              </w:rPr>
              <w:t xml:space="preserve"> туристичних послуг, створенню рівних умов для суб’єктів, що провадять та забезпечують провадження туристичної діяльності;</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захисту прав споживачів культурного і туристичного продукту;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централізованому комплектуванню, забезпеченню належних матеріально-технічних умов зберігання та використанню бібліотечних фондів;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збереженню та відтворенню традиційного характеру середовища та історичного ареалу міста, відродженню осередків традиційної народної творчості, народних художніх промислів і ремесел;</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lastRenderedPageBreak/>
              <w:t>- проведенню роботи з фіксації зразків національної нематеріальної культурної спадщини;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діяльності творчих спілок, національно-культурних товариств, громадських організацій, що функціонують у сфері культури і туризму;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b/>
                <w:sz w:val="28"/>
              </w:rPr>
              <w:t>- </w:t>
            </w:r>
            <w:r>
              <w:rPr>
                <w:rFonts w:ascii="Times New Roman" w:hAnsi="Times New Roman"/>
                <w:sz w:val="28"/>
              </w:rPr>
              <w:t>соціальному захисту працівників підприємств, установ і організацій у сфері культури і туризму.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3.1.3. Вносить пропозиції щодо:</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формування державної політики у сфері культури і туризму, збереження культурної спадщини у місті, зокрема про занесення об’єктів культурної спадщини до Державного реєстру нерухомих пам’яток України;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проведення робіт з консервації, реставрації, реабілітації, музеєфікації</w:t>
            </w:r>
            <w:r>
              <w:rPr>
                <w:rFonts w:ascii="Times New Roman" w:hAnsi="Times New Roman"/>
                <w:b/>
                <w:sz w:val="28"/>
              </w:rPr>
              <w:t>,</w:t>
            </w:r>
            <w:r>
              <w:rPr>
                <w:rFonts w:ascii="Times New Roman" w:hAnsi="Times New Roman"/>
                <w:sz w:val="28"/>
              </w:rPr>
              <w:t> ремонту та пристосування об’єктів культурної спадщини, відповідного використання пам’яток історії та культури;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xml:space="preserve">- видання приписів та розпоряджень щодо охорони пам’яток місцевого значення, припинення робіт на цих пам’ятках </w:t>
            </w:r>
            <w:proofErr w:type="gramStart"/>
            <w:r>
              <w:rPr>
                <w:rFonts w:ascii="Times New Roman" w:hAnsi="Times New Roman"/>
                <w:sz w:val="28"/>
              </w:rPr>
              <w:t>у порядку</w:t>
            </w:r>
            <w:proofErr w:type="gramEnd"/>
            <w:r>
              <w:rPr>
                <w:rFonts w:ascii="Times New Roman" w:hAnsi="Times New Roman"/>
                <w:sz w:val="28"/>
              </w:rPr>
              <w:t>, передбаченому чинним законодавством;</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організації охоронних заходів щодо пам’яток місцевого значення у разі виникнення загрози їх пошкодження або руйнування;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укладання охоронних договорів на пам’ятки в межах повноважень, делегованих органом охорони культурної спадщини вищого рівня відповідно до Закону України «Про охорону культурної спадщини»;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відзначення талановитих дітей та молоді, працівників, митців, аматорів народного мистецтва, майстрів народної творчості преміями, стипендіями, відзнаками, грамотами, подяками.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3.1.4. Бере участь 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розробленні проектів програм соціально-економічного розвитку, державних цільових, регіональних та міських програм;</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розробленні проектів статутів закладів культури, мистецтв, позашкільної мистецької освіти, які знаходяться у комунальній власності міста;</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реалізації міжнародних, всеукраїнських культурно-мистецьких проектів, в т.ч. виставок-</w:t>
            </w:r>
            <w:r>
              <w:rPr>
                <w:rFonts w:ascii="Times New Roman" w:hAnsi="Times New Roman"/>
                <w:sz w:val="28"/>
              </w:rPr>
              <w:lastRenderedPageBreak/>
              <w:t>ярмарків, фестивалів, конкурсів, методичних і науково-практичних семінарів, конференцій тощо.</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3.1.5. Здійснює:</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координацію діяльності установ та організацій, комунальних підприємств у сфері культури і туризму;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заходи щодо підготовки, перепідготовки та підвищення кваліфікації працівників у сфері культури; заходи, які посилюють роль бібліотек як інформаційних центрів та поліпшують поінформованість населення;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організаційно-практичне керівництво роботою кінотеатрів;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контроль за збереженням музейних та бібліотечних фондів та їх постійне поповнення.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3.1.6. Здійснює контроль за дотриманням бюджетного законодавства підпорядкованими установами та закладами: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розробляє плани діяльності на плановий та наступні за плановим два бюджетні періоди;</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b/>
                <w:sz w:val="28"/>
              </w:rPr>
              <w:t>- </w:t>
            </w:r>
            <w:r>
              <w:rPr>
                <w:rFonts w:ascii="Times New Roman" w:hAnsi="Times New Roman"/>
                <w:sz w:val="28"/>
              </w:rPr>
              <w:t>організовує та забезпечує складання проекту кошторису та бюджетного запиту і подає їх фінансовому управлінню;</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отримує бюджетні призначення відповідно до рішення міської ради, розподіляє та доводить у встановленому порядку обсяги бюджетних асигнувань до розпорядників нижчого рівня та одержувачів бюджетних коштів;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затверджує кошториси розпорядників бюджетних коштів нижчого рівня та плани використання бюджетних коштів одержувачів бюджетних коштів;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управління бюджетними коштами, оцінку ефективності бюджетних програм, забезпечує ефективне, результативне і цільове використання бюджетних коштів, організацію та координацію роботи розпорядників бюджетних коштів та одержувачів у бюджетному процесі;</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внутрішній контроль за повнотою надходжень, взяттям бюджетних зобов’язань і витрачання ними бюджетних коштів;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xml:space="preserve">- забезпечує організацію та ведення централізованого бухгалтерського обліку </w:t>
            </w:r>
            <w:r>
              <w:rPr>
                <w:rFonts w:ascii="Times New Roman" w:hAnsi="Times New Roman"/>
                <w:sz w:val="28"/>
              </w:rPr>
              <w:lastRenderedPageBreak/>
              <w:t xml:space="preserve">підпорядкованих закладів, складання та подання фінансової і бюджетної звітності </w:t>
            </w:r>
            <w:proofErr w:type="gramStart"/>
            <w:r>
              <w:rPr>
                <w:rFonts w:ascii="Times New Roman" w:hAnsi="Times New Roman"/>
                <w:sz w:val="28"/>
              </w:rPr>
              <w:t>у порядку</w:t>
            </w:r>
            <w:proofErr w:type="gramEnd"/>
            <w:r>
              <w:rPr>
                <w:rFonts w:ascii="Times New Roman" w:hAnsi="Times New Roman"/>
                <w:sz w:val="28"/>
              </w:rPr>
              <w:t>, встановленому законодавством;</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проводить аналіз діяльності закладів культури шляхом збирання та оброблення статистичних даних у сфері культури, забезпечує контроль за їх достовірністю, потреби у працівниках у сфері культури і мистецтва. Готує та подає в установленому порядку статистичну звітність про стан та розвиток культури і туризму в місті;</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розробляє проекти міських програм розвитку культури, мистецтва, туризму і подає на розгляд міської ради пропозиції щодо фінансування заходів, спрямованих на розвиток культури, мистецтва, туризму;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фінансування за рахунок коштів міського бюджету програм у сфері культури і туризму, проведення загальноміських культурно-мистецьких заходів, участі представників міста в обласних, всеукраїнських та міжнародних заходах в межах виділених Управлінню коштів, всеукраїнських та міжнародних заходів, підпорядкованих закладів культури, початкових спеціалізованих мистецьких навчальних закладів, комунальних підприємств, надає фінансову підтримку та допомогу громадським організаціям, товариствам, аматорським колективам, клубам, асоціаціям культурно-туристичного спрямування, обдарованим дітям і творчій, талановитій молоді в межах затвердженого кошторису;</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розробляє положення про персональні стипендії для обдарованих дітей і творчої молоді, викладачів, працівників культури, провідних митців для підтримки їх творчості та розвитку їх здібностей. В межах затвердженого кошторису виплачує стипендії обдарованим дітям - лауреатам фестивалів та конкурсів, їх наставникам та провідним діячам мистецтв міста;</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контроль за ефективністю використання культурно-мистецьких та інших об’єктів, що підпорядковані Управлінню, виконує функції замовника будівництва, реконструкції та ремонту приміщень закладів культури та інших споруд соціального призначення;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lastRenderedPageBreak/>
              <w:t>- укладає договори в межах своїх повноважень та взаємодіє з громадськими організаціями культурного спрямування у проведенні загальноміських заходів.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3.1.7. Організовує та контролює роботу щодо виявлення, обліку об’єктів та пам’яток культурної спадщини, їх паспортизації, встановлення режиму і порядку використання та популяризації, виготовлення, встановлення та утримання охоронних дощок, охоронних знаків, інших інформаційних написів, позначок на пам’ятках або в межах їх території.</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3.1.8. Затверджує положення про конкурси, фестивалі та проводить міські та відкриті конкурси, фестивалі, майстер-класи, конференції тощо, нагороджує переможців, учасників, кращих учнів мистецьких навчальних закладів, учасників творчих колективів у визначених положенням про захід в номінаціях особистими та командними кубками, сувенірами, дипломами та грамотами з цінними подарунками, </w:t>
            </w:r>
            <w:proofErr w:type="gramStart"/>
            <w:r>
              <w:rPr>
                <w:rFonts w:ascii="Times New Roman" w:hAnsi="Times New Roman"/>
                <w:sz w:val="28"/>
              </w:rPr>
              <w:t>у межах</w:t>
            </w:r>
            <w:proofErr w:type="gramEnd"/>
            <w:r>
              <w:rPr>
                <w:rFonts w:ascii="Times New Roman" w:hAnsi="Times New Roman"/>
                <w:sz w:val="28"/>
              </w:rPr>
              <w:t xml:space="preserve"> коштів, виділених на розвиток культури і мистецтва.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3.1.9. Утримує культурні та інші споруди, які знаходяться на балансі Управління та надає їх в оренду в установленому порядку.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3.1.10. Підтримує видання книг місцевих авторів шляхом розгляду їх творів та прийняття рішення Координаційною радою із закупівлі творів місцевих авторів при Управлінні культури.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3.1.11. Проводить фестивалі, конкурси, виставки, ярмарки, форуми, конференції та інші заходи, спрямовані на підвищення культурно-освітнього рівня дітей та молоді, нагороджує цінними подарунками, грамотами та відповідною атрибутикою їх учасників, переможців, представників громадських культурологічних організацій, викладачів, керівників колективів, спрямовані на забезпечення виходу художніх колективів, обдарованих дітей і талановитої молоді на всеукраїнський та міжнародний рівень.</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3.1.12. Залучає до розв’язання актуальних проблем розвитку культури і туризму, охорони культурної спадщини всі зацікавлені установи та організації </w:t>
            </w:r>
            <w:r>
              <w:rPr>
                <w:rFonts w:ascii="Times New Roman" w:hAnsi="Times New Roman"/>
                <w:sz w:val="28"/>
              </w:rPr>
              <w:lastRenderedPageBreak/>
              <w:t>незалежно від форм власності за їх згодою або на договірних засадах.</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3.1.13. Сприяє збереженню, вдосконаленню та розширенню мережі закладів культури, початкових спеціалізованих мистецьких навчальних закладів, насамперед в мікрорайонах міста, визначає пріоритети розвитку культури в місті.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3.1.14. Надає організаційну та практичну допомогу у проведенні в місті обласних, всеукраїнських та міжнародних культурно-мистецьких заходів.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3.1.15. Забезпечує, в межах кошторису підготовку і виступи художніх колективів та окремих виконавців міста в обласних, Всеукраїнських та міжнародних заходах.</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3.1.16. Вивчає, узагальнює та поширює передовий досвід роботи у сфері культури і туризму, проводить з цією метою методичні і науково - практичні семінари, фестивалі, конференції та інші заходи.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3.1.17. Сприяє розвитку підприємництва та залученню інвестицій у сфері культури і туризму, надає консультаційно-методичну допомогу суб’єктам господарювання з питань культурно-мистецької і туристичної діяльності.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3.1.18. Розглядає листи, звернення, пропозиції та скарги громадян, юридичних та фізичних осіб – підприємців з питань, що належать до його компетенції, вирішує питання щодо виявлення та усунення причин, що породжують скарги.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3.1.19. Забезпечує юридичним і фізичним особам доступ до інформації щодо переліку пам’яток та об’єктів культурної спадщини, що перебувають на обліку, а також інформації щодо програм та проектів будь-яких змін </w:t>
            </w:r>
            <w:proofErr w:type="gramStart"/>
            <w:r>
              <w:rPr>
                <w:rFonts w:ascii="Times New Roman" w:hAnsi="Times New Roman"/>
                <w:sz w:val="28"/>
              </w:rPr>
              <w:t>у зонах</w:t>
            </w:r>
            <w:proofErr w:type="gramEnd"/>
            <w:r>
              <w:rPr>
                <w:rFonts w:ascii="Times New Roman" w:hAnsi="Times New Roman"/>
                <w:sz w:val="28"/>
              </w:rPr>
              <w:t xml:space="preserve"> охорони пам’яток.</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3.1.20. Погоджує при затвердженні та реєстрації у встановленому порядку статути, положення підприємств та закладів культури і мистецтва, підпорядкованих управлінню.</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3.1.21. Погоджує надання послуг у сфері відпочинку та розваг на території міста.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lastRenderedPageBreak/>
              <w:t>3.1.22. Погоджує на призначення, за поданням керівників закладів культури, що належать до комунальної власності територіальної громади міста, кандидатури їх заступників.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3.1.23. Виконує інші функції відповідно до покладених на нього завдань.</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3.1.24. Виступає розпорядником бюджетних коштів та залучених інвестицій в рамках інвестиційних проектів та програм в межах, визначених міською радою.</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3.1.25. Надає висновки щодо відповідних програм та проектів містобудівних, архітектурних і ландшафтних перетворень, меліоративних, шляхових, земляних робіт на пам’ятках місцевого значення та в зонах їх охорони, на охоронюваних археологічних територіях, в історичних ареалах населених місць, а також програм та проектів, реалізація яких може позначитися на стані об’єктів культурної спадщини.</w:t>
            </w:r>
          </w:p>
          <w:p w:rsidR="007155E9" w:rsidRDefault="002874A3">
            <w:r>
              <w:rPr>
                <w:rFonts w:ascii="Times New Roman" w:hAnsi="Times New Roman"/>
                <w:sz w:val="28"/>
              </w:rPr>
              <w:t>3.1.26. Надає висновки щодо відчуження або передачі пам’яток місцевого значення їх власниками чи уповноваженими ними органами іншим особам у володіння, користування або управління.</w:t>
            </w:r>
          </w:p>
        </w:tc>
      </w:tr>
      <w:tr w:rsidR="007155E9">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r>
              <w:rPr>
                <w:rFonts w:ascii="Times New Roman" w:hAnsi="Times New Roman"/>
                <w:b/>
                <w:sz w:val="28"/>
              </w:rPr>
              <w:lastRenderedPageBreak/>
              <w:t>Розділ 4. Права Управління</w:t>
            </w:r>
          </w:p>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4.1. Управління має право:</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4.1.1. Одержувати в установленому законодавством порядку від місцевих органів виконавчої влади, відділів, управлінь та департаментів міської ради, а також від підприємств, установ та організацій інформацію, документи і матеріали, необхідні для виконання покладених на нього завдань.</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4.1.2. Скликати в установленому порядку наради, конференції і семінари з питань, що належать до його компетенції.</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4.1.3. Залучати працівників місцевих органів виконавчої влади, відділів, управлінь та департаментів міської ради, підприємств, установ та організацій (за погодженням з їх керівниками) для розгляду питань, що належать до його компетенції, а також громадян на правах громадських інспекторів для спостереження за станом зберігання та використання пам’яток, їхніх територій і зон охорони.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lastRenderedPageBreak/>
              <w:t>4.1.4. Готувати проекти рішень міської ради та її виконавчого комітету з питань, що належать до компетенції Управління.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4.1.5. Укладати угоди про співробітництво та встановлювати прямі зв’язки із закладами культури та мистецтва, закладами </w:t>
            </w:r>
            <w:proofErr w:type="gramStart"/>
            <w:r>
              <w:rPr>
                <w:rFonts w:ascii="Times New Roman" w:hAnsi="Times New Roman"/>
                <w:sz w:val="28"/>
              </w:rPr>
              <w:t>туристичної  інфраструктури</w:t>
            </w:r>
            <w:proofErr w:type="gramEnd"/>
            <w:r>
              <w:rPr>
                <w:rFonts w:ascii="Times New Roman" w:hAnsi="Times New Roman"/>
                <w:sz w:val="28"/>
              </w:rPr>
              <w:t xml:space="preserve"> зарубіжних країн, міжнародними організаціями, фондами.</w:t>
            </w:r>
          </w:p>
          <w:p w:rsidR="007155E9" w:rsidRDefault="007155E9"/>
        </w:tc>
      </w:tr>
      <w:tr w:rsidR="007155E9">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r>
              <w:rPr>
                <w:rFonts w:ascii="Times New Roman" w:hAnsi="Times New Roman"/>
                <w:b/>
                <w:sz w:val="28"/>
              </w:rPr>
              <w:lastRenderedPageBreak/>
              <w:t>Розділ 5. Керівництво Управління</w:t>
            </w:r>
          </w:p>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5.1. Управління очолює начальник управління, який призначається та звільняється з посади міським головою відповідно до Закону України: «Про місцеве самоврядування в Україні».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5.2. Начальник управління має заступника, який призначається </w:t>
            </w:r>
            <w:proofErr w:type="gramStart"/>
            <w:r>
              <w:rPr>
                <w:rFonts w:ascii="Times New Roman" w:hAnsi="Times New Roman"/>
                <w:sz w:val="28"/>
              </w:rPr>
              <w:t>на посаду</w:t>
            </w:r>
            <w:proofErr w:type="gramEnd"/>
            <w:r>
              <w:rPr>
                <w:rFonts w:ascii="Times New Roman" w:hAnsi="Times New Roman"/>
                <w:sz w:val="28"/>
              </w:rPr>
              <w:t xml:space="preserve"> та звільняється з посади міським головою за поданням начальника управління відповідно до Закону України: «Про місцеве самоврядування в Україні».</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5.3. </w:t>
            </w:r>
            <w:proofErr w:type="gramStart"/>
            <w:r>
              <w:rPr>
                <w:rFonts w:ascii="Times New Roman" w:hAnsi="Times New Roman"/>
                <w:sz w:val="28"/>
              </w:rPr>
              <w:t>До складу</w:t>
            </w:r>
            <w:proofErr w:type="gramEnd"/>
            <w:r>
              <w:rPr>
                <w:rFonts w:ascii="Times New Roman" w:hAnsi="Times New Roman"/>
                <w:sz w:val="28"/>
              </w:rPr>
              <w:t xml:space="preserve"> управління входить на правах структурного підрозділу сектор охорони культурної спадщини і туризму, який очолює завідувач.</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5.4. При управлінні діє централізована бухгалтерія закладів культури міста.</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5.5. Права та обов’язки начальника управління: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керівництво діяльністю Управління, несе відповідальність за виконання покладених на Управління завдань, встановлює розподіл обов’язків, визначає ступінь відповідальності працівників Управління;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видає в межах своїх повноважень накази, організовує і контролює їх виконання;</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затверджує кошториси розпорядників коштів нижчого рівня (плани використання бюджетних коштів одержувачів бюджетних коштів);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здійснює внутрішній контроль за повнотою надходжень, взяттям бюджетних зобов’язань розпорядниками бюджетних коштів нижчого рівня та одержувачами бюджетних коштів і витрачанням ними бюджетних коштів;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lastRenderedPageBreak/>
              <w:t>- здійснює управління бюджетними коштами в межах встановлених бюджетних повноважень та оцінку ефективності бюджетних програм, забезпечуючи ефективне, результативне та цільове використання бюджетних коштів, організацію та координацію роботи розпорядників коштів нижчого рівня та одержувачів бюджетних коштів у бюджетному процесі;</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xml:space="preserve">- забезпечує організацію та ведення бухгалтерського обліку, складання та надання фінансової і бюджетної звітності </w:t>
            </w:r>
            <w:proofErr w:type="gramStart"/>
            <w:r>
              <w:rPr>
                <w:rFonts w:ascii="Times New Roman" w:hAnsi="Times New Roman"/>
                <w:sz w:val="28"/>
              </w:rPr>
              <w:t>у порядку</w:t>
            </w:r>
            <w:proofErr w:type="gramEnd"/>
            <w:r>
              <w:rPr>
                <w:rFonts w:ascii="Times New Roman" w:hAnsi="Times New Roman"/>
                <w:sz w:val="28"/>
              </w:rPr>
              <w:t>, встановленому законодавством;</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затверджує плани роботи Управління, положення про структурний підрозділ та централізовану бухгалтерію закладів культури міста, штатні розписи підпорядкованих установ;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розглядає в установленому порядку питання заохочення або притягнення до дисциплінарної відповідальності працівників Управління та керівників підпорядкованих йому установ;</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скликає та проводить наради з питань, що належать до його компетенції;</w:t>
            </w:r>
          </w:p>
          <w:p w:rsidR="007155E9" w:rsidRDefault="002874A3">
            <w:pPr>
              <w:shd w:val="clear" w:color="auto" w:fill="FFFFFF"/>
              <w:spacing w:after="0" w:line="240" w:lineRule="auto"/>
              <w:ind w:right="57" w:firstLine="720"/>
              <w:jc w:val="both"/>
              <w:rPr>
                <w:rFonts w:ascii="Times New Roman" w:hAnsi="Times New Roman"/>
                <w:sz w:val="28"/>
              </w:rPr>
            </w:pPr>
            <w:r>
              <w:rPr>
                <w:rFonts w:ascii="Times New Roman" w:hAnsi="Times New Roman"/>
                <w:sz w:val="28"/>
              </w:rPr>
              <w:t>- укладає від імені управління угоди та видає доручення, відкриває в установах банків розрахункові та інші рахунки для зарахування спеціальних коштів, та інших позабюджетних коштів.</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5.6. Для узгодженого вирішення питань, що належать до компетенції Управління, може утворюватися колегія у складі начальника управління (голова колегії), його заступника, спеціалістів управління. </w:t>
            </w:r>
            <w:proofErr w:type="gramStart"/>
            <w:r>
              <w:rPr>
                <w:rFonts w:ascii="Times New Roman" w:hAnsi="Times New Roman"/>
                <w:sz w:val="28"/>
              </w:rPr>
              <w:t>До складу</w:t>
            </w:r>
            <w:proofErr w:type="gramEnd"/>
            <w:r>
              <w:rPr>
                <w:rFonts w:ascii="Times New Roman" w:hAnsi="Times New Roman"/>
                <w:sz w:val="28"/>
              </w:rPr>
              <w:t xml:space="preserve"> колегії можуть також входити керівники підприємств, установ та організацій, провідні митці, представники громадських організацій культурного спрямування.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5.7. Склад колегії затверджується виконавчим комітетом міської ради.</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5.8. Рішення колегії оформлюються протокольно та затверджуються наказами начальника управління.</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5.9. В Управлінні для виконання покладених на нього завдань можуть утворюватися дорадчі та консультативні органи, персональний склад та положення про які затверджує начальник управління.</w:t>
            </w:r>
          </w:p>
          <w:p w:rsidR="007155E9" w:rsidRDefault="007155E9"/>
        </w:tc>
      </w:tr>
      <w:tr w:rsidR="007155E9">
        <w:tc>
          <w:tcPr>
            <w:tcW w:w="26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center"/>
              <w:rPr>
                <w:rFonts w:ascii="Times New Roman" w:hAnsi="Times New Roman"/>
                <w:sz w:val="28"/>
              </w:rPr>
            </w:pPr>
            <w:r>
              <w:rPr>
                <w:rFonts w:ascii="Times New Roman" w:hAnsi="Times New Roman"/>
                <w:b/>
                <w:sz w:val="28"/>
              </w:rPr>
              <w:lastRenderedPageBreak/>
              <w:t>Розділ 6. Припинення Управління</w:t>
            </w:r>
          </w:p>
          <w:p w:rsidR="007155E9" w:rsidRDefault="007155E9"/>
        </w:tc>
        <w:tc>
          <w:tcPr>
            <w:tcW w:w="72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6.1. Припинення Управління проводиться міською радою у встановленому чинним законодавством порядку.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 xml:space="preserve">6.2. У разі припинення Управління (у результаті його ліквідації, злиття, поділу, приєднання або перетворення) його активи повинні бути передані одній або кільком неприбутковим організаціям відповідного виду або зараховані </w:t>
            </w:r>
            <w:proofErr w:type="gramStart"/>
            <w:r>
              <w:rPr>
                <w:rFonts w:ascii="Times New Roman" w:hAnsi="Times New Roman"/>
                <w:sz w:val="28"/>
              </w:rPr>
              <w:t>до доходу</w:t>
            </w:r>
            <w:proofErr w:type="gramEnd"/>
            <w:r>
              <w:rPr>
                <w:rFonts w:ascii="Times New Roman" w:hAnsi="Times New Roman"/>
                <w:sz w:val="28"/>
              </w:rPr>
              <w:t xml:space="preserve"> міського бюджету.</w:t>
            </w:r>
          </w:p>
          <w:p w:rsidR="007155E9" w:rsidRDefault="002874A3">
            <w:pPr>
              <w:shd w:val="clear" w:color="auto" w:fill="FFFFFF"/>
              <w:spacing w:after="0" w:line="240" w:lineRule="auto"/>
              <w:ind w:right="57"/>
              <w:jc w:val="both"/>
              <w:rPr>
                <w:rFonts w:ascii="Times New Roman" w:hAnsi="Times New Roman"/>
                <w:sz w:val="28"/>
              </w:rPr>
            </w:pPr>
            <w:r>
              <w:rPr>
                <w:rFonts w:ascii="Times New Roman" w:hAnsi="Times New Roman"/>
                <w:sz w:val="28"/>
              </w:rPr>
              <w:t>6.3. Зміни до Положення про управління відповідно до діючого законодавства вносяться на підставі рішення сесії міської ради.</w:t>
            </w:r>
          </w:p>
          <w:p w:rsidR="007155E9" w:rsidRDefault="007155E9">
            <w:pPr>
              <w:spacing w:after="0" w:line="240" w:lineRule="auto"/>
              <w:ind w:right="57" w:firstLine="720"/>
              <w:jc w:val="center"/>
              <w:rPr>
                <w:rFonts w:ascii="Times New Roman" w:hAnsi="Times New Roman"/>
                <w:b/>
                <w:sz w:val="28"/>
              </w:rPr>
            </w:pPr>
          </w:p>
          <w:p w:rsidR="007155E9" w:rsidRDefault="007155E9"/>
        </w:tc>
      </w:tr>
    </w:tbl>
    <w:p w:rsidR="007155E9" w:rsidRDefault="007155E9">
      <w:pPr>
        <w:spacing w:after="0" w:line="240" w:lineRule="auto"/>
        <w:ind w:right="57" w:firstLine="720"/>
        <w:jc w:val="center"/>
        <w:rPr>
          <w:rFonts w:ascii="Times New Roman" w:hAnsi="Times New Roman"/>
          <w:b/>
          <w:sz w:val="28"/>
        </w:rPr>
      </w:pPr>
    </w:p>
    <w:p w:rsidR="007155E9" w:rsidRDefault="007155E9">
      <w:pPr>
        <w:spacing w:after="0" w:line="240" w:lineRule="auto"/>
        <w:ind w:right="57"/>
        <w:jc w:val="both"/>
        <w:rPr>
          <w:rFonts w:ascii="Times New Roman" w:hAnsi="Times New Roman"/>
          <w:sz w:val="28"/>
        </w:rPr>
      </w:pPr>
    </w:p>
    <w:p w:rsidR="007155E9" w:rsidRDefault="007155E9">
      <w:pPr>
        <w:spacing w:after="0" w:line="240" w:lineRule="auto"/>
        <w:ind w:right="57"/>
        <w:jc w:val="both"/>
        <w:rPr>
          <w:rFonts w:ascii="Times New Roman" w:hAnsi="Times New Roman"/>
          <w:sz w:val="28"/>
        </w:rPr>
      </w:pPr>
    </w:p>
    <w:p w:rsidR="007155E9" w:rsidRDefault="007155E9">
      <w:pPr>
        <w:spacing w:after="0" w:line="240" w:lineRule="auto"/>
        <w:ind w:right="57"/>
        <w:jc w:val="both"/>
        <w:rPr>
          <w:rFonts w:ascii="Times New Roman" w:hAnsi="Times New Roman"/>
          <w:sz w:val="28"/>
        </w:rPr>
      </w:pPr>
    </w:p>
    <w:p w:rsidR="007155E9" w:rsidRDefault="007155E9">
      <w:pPr>
        <w:spacing w:after="0" w:line="240" w:lineRule="auto"/>
        <w:ind w:right="57"/>
        <w:jc w:val="both"/>
        <w:rPr>
          <w:rFonts w:ascii="Times New Roman" w:hAnsi="Times New Roman"/>
          <w:sz w:val="28"/>
        </w:rPr>
      </w:pPr>
    </w:p>
    <w:p w:rsidR="007155E9" w:rsidRDefault="007155E9">
      <w:pPr>
        <w:spacing w:after="0" w:line="240" w:lineRule="auto"/>
        <w:ind w:right="57" w:firstLine="720"/>
        <w:jc w:val="both"/>
        <w:rPr>
          <w:rFonts w:ascii="Times New Roman" w:hAnsi="Times New Roman"/>
          <w:sz w:val="28"/>
        </w:rPr>
      </w:pPr>
    </w:p>
    <w:p w:rsidR="007155E9" w:rsidRDefault="007155E9">
      <w:pPr>
        <w:spacing w:after="0" w:line="240" w:lineRule="auto"/>
        <w:ind w:right="57" w:firstLine="720"/>
        <w:jc w:val="both"/>
        <w:rPr>
          <w:rFonts w:ascii="Times New Roman" w:hAnsi="Times New Roman"/>
          <w:sz w:val="28"/>
        </w:rPr>
      </w:pPr>
    </w:p>
    <w:tbl>
      <w:tblPr>
        <w:tblW w:w="9468" w:type="dxa"/>
        <w:tblLook w:val="00A0" w:firstRow="1" w:lastRow="0" w:firstColumn="1" w:lastColumn="0" w:noHBand="0" w:noVBand="0"/>
      </w:tblPr>
      <w:tblGrid>
        <w:gridCol w:w="4068"/>
        <w:gridCol w:w="1980"/>
        <w:gridCol w:w="3420"/>
      </w:tblGrid>
      <w:tr w:rsidR="007155E9">
        <w:tc>
          <w:tcPr>
            <w:tcW w:w="4068" w:type="dxa"/>
          </w:tcPr>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7155E9">
            <w:pPr>
              <w:keepNext/>
              <w:widowControl w:val="0"/>
              <w:spacing w:after="0" w:line="240" w:lineRule="auto"/>
              <w:outlineLvl w:val="1"/>
              <w:rPr>
                <w:rFonts w:ascii="Times New Roman" w:hAnsi="Times New Roman"/>
                <w:b/>
                <w:sz w:val="28"/>
              </w:rPr>
            </w:pPr>
          </w:p>
          <w:p w:rsidR="007155E9" w:rsidRDefault="002874A3">
            <w:pPr>
              <w:keepNext/>
              <w:widowControl w:val="0"/>
              <w:spacing w:after="0" w:line="240" w:lineRule="auto"/>
              <w:outlineLvl w:val="1"/>
              <w:rPr>
                <w:rFonts w:ascii="Times New Roman" w:hAnsi="Times New Roman"/>
                <w:b/>
                <w:sz w:val="28"/>
              </w:rPr>
            </w:pPr>
            <w:r>
              <w:rPr>
                <w:rFonts w:ascii="Times New Roman" w:hAnsi="Times New Roman"/>
                <w:b/>
                <w:sz w:val="28"/>
              </w:rPr>
              <w:t xml:space="preserve">Виконав </w:t>
            </w:r>
            <w:r>
              <w:rPr>
                <w:rFonts w:ascii="Times New Roman" w:hAnsi="Times New Roman"/>
                <w:sz w:val="28"/>
              </w:rPr>
              <w:t>магістрант</w:t>
            </w:r>
          </w:p>
        </w:tc>
        <w:tc>
          <w:tcPr>
            <w:tcW w:w="1980" w:type="dxa"/>
          </w:tcPr>
          <w:p w:rsidR="007155E9" w:rsidRDefault="007155E9">
            <w:pPr>
              <w:widowControl w:val="0"/>
              <w:spacing w:after="0" w:line="240" w:lineRule="auto"/>
              <w:jc w:val="both"/>
              <w:rPr>
                <w:rFonts w:ascii="Times New Roman" w:hAnsi="Times New Roman"/>
                <w:b/>
                <w:sz w:val="28"/>
              </w:rPr>
            </w:pPr>
          </w:p>
        </w:tc>
        <w:tc>
          <w:tcPr>
            <w:tcW w:w="3420" w:type="dxa"/>
          </w:tcPr>
          <w:p w:rsidR="007155E9" w:rsidRDefault="007155E9">
            <w:pPr>
              <w:widowControl w:val="0"/>
              <w:spacing w:after="0" w:line="240" w:lineRule="auto"/>
              <w:jc w:val="center"/>
              <w:rPr>
                <w:rFonts w:ascii="Times New Roman" w:hAnsi="Times New Roman"/>
                <w:sz w:val="28"/>
              </w:rPr>
            </w:pPr>
          </w:p>
        </w:tc>
      </w:tr>
      <w:tr w:rsidR="007155E9">
        <w:tc>
          <w:tcPr>
            <w:tcW w:w="4068" w:type="dxa"/>
          </w:tcPr>
          <w:p w:rsidR="007155E9" w:rsidRDefault="002874A3">
            <w:pPr>
              <w:widowControl w:val="0"/>
              <w:spacing w:after="0" w:line="240" w:lineRule="auto"/>
              <w:jc w:val="both"/>
              <w:rPr>
                <w:rFonts w:ascii="Times New Roman" w:hAnsi="Times New Roman"/>
                <w:sz w:val="28"/>
              </w:rPr>
            </w:pPr>
            <w:r>
              <w:rPr>
                <w:rFonts w:ascii="Times New Roman" w:hAnsi="Times New Roman"/>
                <w:sz w:val="28"/>
              </w:rPr>
              <w:t>2 курсу групи МУ-71</w:t>
            </w:r>
          </w:p>
        </w:tc>
        <w:tc>
          <w:tcPr>
            <w:tcW w:w="1980" w:type="dxa"/>
            <w:tcBorders>
              <w:top w:val="nil"/>
              <w:left w:val="nil"/>
              <w:bottom w:val="single" w:sz="4" w:space="0" w:color="auto"/>
              <w:right w:val="nil"/>
            </w:tcBorders>
          </w:tcPr>
          <w:p w:rsidR="007155E9" w:rsidRDefault="007155E9">
            <w:pPr>
              <w:widowControl w:val="0"/>
              <w:spacing w:after="0" w:line="240" w:lineRule="auto"/>
              <w:jc w:val="center"/>
              <w:rPr>
                <w:rFonts w:ascii="Times New Roman" w:hAnsi="Times New Roman"/>
                <w:sz w:val="28"/>
              </w:rPr>
            </w:pPr>
          </w:p>
        </w:tc>
        <w:tc>
          <w:tcPr>
            <w:tcW w:w="3420" w:type="dxa"/>
            <w:tcBorders>
              <w:top w:val="nil"/>
              <w:left w:val="nil"/>
              <w:bottom w:val="single" w:sz="4" w:space="0" w:color="auto"/>
              <w:right w:val="nil"/>
            </w:tcBorders>
          </w:tcPr>
          <w:p w:rsidR="007155E9" w:rsidRDefault="002874A3">
            <w:pPr>
              <w:widowControl w:val="0"/>
              <w:spacing w:after="0" w:line="240" w:lineRule="auto"/>
              <w:ind w:left="-57" w:right="-57"/>
              <w:jc w:val="center"/>
              <w:rPr>
                <w:rFonts w:ascii="Times New Roman" w:hAnsi="Times New Roman"/>
                <w:b/>
                <w:sz w:val="28"/>
              </w:rPr>
            </w:pPr>
            <w:r>
              <w:rPr>
                <w:rFonts w:ascii="Times New Roman CYR" w:hAnsi="Times New Roman CYR"/>
                <w:sz w:val="28"/>
              </w:rPr>
              <w:t xml:space="preserve">Ілля ЧАЙКОВСЬКИЙ </w:t>
            </w:r>
          </w:p>
        </w:tc>
      </w:tr>
      <w:tr w:rsidR="007155E9">
        <w:tc>
          <w:tcPr>
            <w:tcW w:w="4068" w:type="dxa"/>
          </w:tcPr>
          <w:p w:rsidR="007155E9" w:rsidRDefault="002874A3">
            <w:pPr>
              <w:widowControl w:val="0"/>
              <w:spacing w:after="0" w:line="240" w:lineRule="auto"/>
              <w:jc w:val="both"/>
              <w:rPr>
                <w:rFonts w:ascii="Times New Roman" w:hAnsi="Times New Roman"/>
                <w:sz w:val="28"/>
              </w:rPr>
            </w:pPr>
            <w:r>
              <w:rPr>
                <w:rFonts w:ascii="Times New Roman" w:hAnsi="Times New Roman"/>
                <w:sz w:val="28"/>
              </w:rPr>
              <w:t>____ _______________ 2023 р.</w:t>
            </w:r>
          </w:p>
        </w:tc>
        <w:tc>
          <w:tcPr>
            <w:tcW w:w="1980" w:type="dxa"/>
            <w:tcBorders>
              <w:top w:val="single" w:sz="4" w:space="0" w:color="auto"/>
              <w:left w:val="nil"/>
              <w:bottom w:val="nil"/>
              <w:right w:val="nil"/>
            </w:tcBorders>
          </w:tcPr>
          <w:p w:rsidR="007155E9" w:rsidRDefault="002874A3">
            <w:pPr>
              <w:widowControl w:val="0"/>
              <w:spacing w:after="0" w:line="240" w:lineRule="auto"/>
              <w:jc w:val="center"/>
              <w:rPr>
                <w:rFonts w:ascii="Times New Roman" w:hAnsi="Times New Roman"/>
                <w:sz w:val="20"/>
              </w:rPr>
            </w:pPr>
            <w:r>
              <w:rPr>
                <w:rFonts w:ascii="Times New Roman" w:hAnsi="Times New Roman"/>
                <w:sz w:val="20"/>
              </w:rPr>
              <w:t>Підпис</w:t>
            </w:r>
          </w:p>
        </w:tc>
        <w:tc>
          <w:tcPr>
            <w:tcW w:w="3420" w:type="dxa"/>
            <w:tcBorders>
              <w:top w:val="single" w:sz="4" w:space="0" w:color="auto"/>
              <w:left w:val="nil"/>
              <w:bottom w:val="nil"/>
              <w:right w:val="nil"/>
            </w:tcBorders>
          </w:tcPr>
          <w:p w:rsidR="007155E9" w:rsidRDefault="002874A3">
            <w:pPr>
              <w:widowControl w:val="0"/>
              <w:spacing w:after="0" w:line="240" w:lineRule="auto"/>
              <w:ind w:left="-57" w:right="-57"/>
              <w:jc w:val="center"/>
              <w:rPr>
                <w:rFonts w:ascii="Times New Roman" w:hAnsi="Times New Roman"/>
                <w:b/>
                <w:sz w:val="20"/>
              </w:rPr>
            </w:pPr>
            <w:r>
              <w:rPr>
                <w:rFonts w:ascii="Times New Roman" w:hAnsi="Times New Roman"/>
                <w:sz w:val="20"/>
              </w:rPr>
              <w:t>(Ім’я та прізвище)</w:t>
            </w:r>
          </w:p>
        </w:tc>
      </w:tr>
      <w:tr w:rsidR="007155E9">
        <w:tc>
          <w:tcPr>
            <w:tcW w:w="4068" w:type="dxa"/>
          </w:tcPr>
          <w:p w:rsidR="007155E9" w:rsidRDefault="007155E9">
            <w:pPr>
              <w:widowControl w:val="0"/>
              <w:spacing w:after="0" w:line="240" w:lineRule="auto"/>
              <w:rPr>
                <w:rFonts w:ascii="Times New Roman" w:hAnsi="Times New Roman"/>
                <w:sz w:val="28"/>
              </w:rPr>
            </w:pPr>
          </w:p>
        </w:tc>
        <w:tc>
          <w:tcPr>
            <w:tcW w:w="1980" w:type="dxa"/>
            <w:tcBorders>
              <w:top w:val="nil"/>
              <w:left w:val="nil"/>
              <w:bottom w:val="single" w:sz="4" w:space="0" w:color="auto"/>
              <w:right w:val="nil"/>
            </w:tcBorders>
          </w:tcPr>
          <w:p w:rsidR="007155E9" w:rsidRDefault="007155E9">
            <w:pPr>
              <w:widowControl w:val="0"/>
              <w:spacing w:after="0" w:line="240" w:lineRule="auto"/>
              <w:jc w:val="center"/>
              <w:rPr>
                <w:rFonts w:ascii="Times New Roman" w:hAnsi="Times New Roman"/>
                <w:sz w:val="28"/>
              </w:rPr>
            </w:pPr>
          </w:p>
        </w:tc>
        <w:tc>
          <w:tcPr>
            <w:tcW w:w="3420" w:type="dxa"/>
            <w:tcBorders>
              <w:top w:val="nil"/>
              <w:left w:val="nil"/>
              <w:bottom w:val="single" w:sz="4" w:space="0" w:color="auto"/>
              <w:right w:val="nil"/>
            </w:tcBorders>
          </w:tcPr>
          <w:p w:rsidR="007155E9" w:rsidRDefault="007155E9">
            <w:pPr>
              <w:widowControl w:val="0"/>
              <w:spacing w:after="0" w:line="240" w:lineRule="auto"/>
              <w:ind w:left="-57" w:right="-57"/>
              <w:jc w:val="center"/>
              <w:rPr>
                <w:rFonts w:ascii="Times New Roman" w:hAnsi="Times New Roman"/>
                <w:sz w:val="28"/>
              </w:rPr>
            </w:pPr>
          </w:p>
        </w:tc>
      </w:tr>
      <w:tr w:rsidR="007155E9">
        <w:tc>
          <w:tcPr>
            <w:tcW w:w="4068" w:type="dxa"/>
          </w:tcPr>
          <w:p w:rsidR="007155E9" w:rsidRDefault="007155E9">
            <w:pPr>
              <w:widowControl w:val="0"/>
              <w:spacing w:after="0" w:line="240" w:lineRule="auto"/>
              <w:jc w:val="both"/>
              <w:rPr>
                <w:rFonts w:ascii="Times New Roman" w:hAnsi="Times New Roman"/>
                <w:b/>
                <w:sz w:val="16"/>
              </w:rPr>
            </w:pPr>
          </w:p>
        </w:tc>
        <w:tc>
          <w:tcPr>
            <w:tcW w:w="1980" w:type="dxa"/>
            <w:tcBorders>
              <w:top w:val="single" w:sz="4" w:space="0" w:color="auto"/>
              <w:left w:val="nil"/>
              <w:bottom w:val="nil"/>
              <w:right w:val="nil"/>
            </w:tcBorders>
          </w:tcPr>
          <w:p w:rsidR="007155E9" w:rsidRDefault="007155E9">
            <w:pPr>
              <w:widowControl w:val="0"/>
              <w:spacing w:after="0" w:line="240" w:lineRule="auto"/>
              <w:jc w:val="center"/>
              <w:rPr>
                <w:rFonts w:ascii="Times New Roman" w:hAnsi="Times New Roman"/>
                <w:sz w:val="16"/>
              </w:rPr>
            </w:pPr>
          </w:p>
        </w:tc>
        <w:tc>
          <w:tcPr>
            <w:tcW w:w="3420" w:type="dxa"/>
            <w:tcBorders>
              <w:top w:val="single" w:sz="4" w:space="0" w:color="auto"/>
              <w:left w:val="nil"/>
              <w:bottom w:val="nil"/>
              <w:right w:val="nil"/>
            </w:tcBorders>
          </w:tcPr>
          <w:p w:rsidR="007155E9" w:rsidRDefault="007155E9">
            <w:pPr>
              <w:widowControl w:val="0"/>
              <w:spacing w:after="0" w:line="240" w:lineRule="auto"/>
              <w:ind w:left="-57" w:right="-57"/>
              <w:jc w:val="center"/>
              <w:rPr>
                <w:rFonts w:ascii="Times New Roman" w:hAnsi="Times New Roman"/>
                <w:b/>
                <w:sz w:val="16"/>
              </w:rPr>
            </w:pPr>
          </w:p>
        </w:tc>
      </w:tr>
      <w:tr w:rsidR="007155E9">
        <w:tc>
          <w:tcPr>
            <w:tcW w:w="4068" w:type="dxa"/>
          </w:tcPr>
          <w:p w:rsidR="007155E9" w:rsidRDefault="007155E9">
            <w:pPr>
              <w:widowControl w:val="0"/>
              <w:spacing w:after="0" w:line="240" w:lineRule="auto"/>
              <w:jc w:val="both"/>
              <w:rPr>
                <w:rFonts w:ascii="Times New Roman" w:hAnsi="Times New Roman"/>
                <w:b/>
                <w:sz w:val="28"/>
              </w:rPr>
            </w:pPr>
          </w:p>
          <w:p w:rsidR="007155E9" w:rsidRDefault="002874A3">
            <w:pPr>
              <w:widowControl w:val="0"/>
              <w:spacing w:after="0" w:line="240" w:lineRule="auto"/>
              <w:jc w:val="both"/>
              <w:rPr>
                <w:rFonts w:ascii="Times New Roman" w:hAnsi="Times New Roman"/>
                <w:b/>
                <w:sz w:val="28"/>
              </w:rPr>
            </w:pPr>
            <w:r>
              <w:rPr>
                <w:rFonts w:ascii="Times New Roman" w:hAnsi="Times New Roman"/>
                <w:b/>
                <w:sz w:val="28"/>
              </w:rPr>
              <w:t>Робота допущена до захисту:</w:t>
            </w:r>
          </w:p>
        </w:tc>
        <w:tc>
          <w:tcPr>
            <w:tcW w:w="1980" w:type="dxa"/>
          </w:tcPr>
          <w:p w:rsidR="007155E9" w:rsidRDefault="007155E9">
            <w:pPr>
              <w:widowControl w:val="0"/>
              <w:spacing w:after="0" w:line="240" w:lineRule="auto"/>
              <w:jc w:val="both"/>
              <w:rPr>
                <w:rFonts w:ascii="Times New Roman" w:hAnsi="Times New Roman"/>
                <w:b/>
                <w:sz w:val="28"/>
              </w:rPr>
            </w:pPr>
          </w:p>
        </w:tc>
        <w:tc>
          <w:tcPr>
            <w:tcW w:w="3420" w:type="dxa"/>
          </w:tcPr>
          <w:p w:rsidR="007155E9" w:rsidRDefault="007155E9">
            <w:pPr>
              <w:widowControl w:val="0"/>
              <w:spacing w:after="0" w:line="240" w:lineRule="auto"/>
              <w:ind w:left="-57" w:right="-57"/>
              <w:jc w:val="center"/>
              <w:rPr>
                <w:rFonts w:ascii="Times New Roman" w:hAnsi="Times New Roman"/>
                <w:b/>
                <w:sz w:val="28"/>
              </w:rPr>
            </w:pPr>
          </w:p>
        </w:tc>
      </w:tr>
      <w:tr w:rsidR="007155E9">
        <w:tc>
          <w:tcPr>
            <w:tcW w:w="4068" w:type="dxa"/>
          </w:tcPr>
          <w:p w:rsidR="007155E9" w:rsidRDefault="002874A3">
            <w:pPr>
              <w:widowControl w:val="0"/>
              <w:spacing w:after="0" w:line="240" w:lineRule="auto"/>
              <w:jc w:val="both"/>
              <w:rPr>
                <w:rFonts w:ascii="Times New Roman" w:hAnsi="Times New Roman"/>
                <w:sz w:val="28"/>
              </w:rPr>
            </w:pPr>
            <w:r>
              <w:rPr>
                <w:rFonts w:ascii="Times New Roman" w:hAnsi="Times New Roman"/>
                <w:sz w:val="28"/>
              </w:rPr>
              <w:t xml:space="preserve">завідувач кафедри </w:t>
            </w:r>
          </w:p>
        </w:tc>
        <w:tc>
          <w:tcPr>
            <w:tcW w:w="1980" w:type="dxa"/>
          </w:tcPr>
          <w:p w:rsidR="007155E9" w:rsidRDefault="007155E9">
            <w:pPr>
              <w:widowControl w:val="0"/>
              <w:spacing w:after="0" w:line="240" w:lineRule="auto"/>
              <w:jc w:val="both"/>
              <w:rPr>
                <w:rFonts w:ascii="Times New Roman" w:hAnsi="Times New Roman"/>
                <w:b/>
                <w:sz w:val="28"/>
              </w:rPr>
            </w:pPr>
          </w:p>
        </w:tc>
        <w:tc>
          <w:tcPr>
            <w:tcW w:w="3420" w:type="dxa"/>
          </w:tcPr>
          <w:p w:rsidR="007155E9" w:rsidRDefault="007155E9">
            <w:pPr>
              <w:widowControl w:val="0"/>
              <w:spacing w:after="0" w:line="240" w:lineRule="auto"/>
              <w:ind w:left="-57" w:right="-57"/>
              <w:jc w:val="center"/>
              <w:rPr>
                <w:rFonts w:ascii="Times New Roman" w:hAnsi="Times New Roman"/>
                <w:b/>
                <w:sz w:val="28"/>
              </w:rPr>
            </w:pPr>
          </w:p>
        </w:tc>
      </w:tr>
      <w:tr w:rsidR="007155E9">
        <w:tc>
          <w:tcPr>
            <w:tcW w:w="4068" w:type="dxa"/>
          </w:tcPr>
          <w:p w:rsidR="007155E9" w:rsidRDefault="002874A3">
            <w:pPr>
              <w:widowControl w:val="0"/>
              <w:spacing w:after="0" w:line="240" w:lineRule="auto"/>
              <w:jc w:val="both"/>
              <w:rPr>
                <w:rFonts w:ascii="Times New Roman" w:hAnsi="Times New Roman"/>
                <w:sz w:val="28"/>
              </w:rPr>
            </w:pPr>
            <w:r>
              <w:rPr>
                <w:rFonts w:ascii="Times New Roman" w:hAnsi="Times New Roman"/>
                <w:sz w:val="28"/>
              </w:rPr>
              <w:t xml:space="preserve">к.пед.н., доцент </w:t>
            </w:r>
          </w:p>
        </w:tc>
        <w:tc>
          <w:tcPr>
            <w:tcW w:w="1980" w:type="dxa"/>
            <w:tcBorders>
              <w:top w:val="nil"/>
              <w:left w:val="nil"/>
              <w:bottom w:val="single" w:sz="4" w:space="0" w:color="auto"/>
              <w:right w:val="nil"/>
            </w:tcBorders>
          </w:tcPr>
          <w:p w:rsidR="007155E9" w:rsidRDefault="007155E9">
            <w:pPr>
              <w:widowControl w:val="0"/>
              <w:spacing w:after="0" w:line="240" w:lineRule="auto"/>
              <w:jc w:val="both"/>
              <w:rPr>
                <w:rFonts w:ascii="Times New Roman" w:hAnsi="Times New Roman"/>
                <w:b/>
                <w:sz w:val="28"/>
              </w:rPr>
            </w:pPr>
          </w:p>
        </w:tc>
        <w:tc>
          <w:tcPr>
            <w:tcW w:w="3420" w:type="dxa"/>
            <w:tcBorders>
              <w:top w:val="nil"/>
              <w:left w:val="nil"/>
              <w:bottom w:val="single" w:sz="4" w:space="0" w:color="auto"/>
              <w:right w:val="nil"/>
            </w:tcBorders>
          </w:tcPr>
          <w:p w:rsidR="007155E9" w:rsidRDefault="002874A3">
            <w:pPr>
              <w:widowControl w:val="0"/>
              <w:spacing w:after="0" w:line="240" w:lineRule="auto"/>
              <w:ind w:left="-57" w:right="-57"/>
              <w:jc w:val="center"/>
              <w:rPr>
                <w:rFonts w:ascii="Times New Roman" w:hAnsi="Times New Roman"/>
                <w:sz w:val="28"/>
              </w:rPr>
            </w:pPr>
            <w:r>
              <w:rPr>
                <w:rFonts w:ascii="Times New Roman" w:hAnsi="Times New Roman"/>
                <w:sz w:val="28"/>
              </w:rPr>
              <w:t>Світлана КУТОВА</w:t>
            </w:r>
          </w:p>
        </w:tc>
      </w:tr>
      <w:tr w:rsidR="007155E9">
        <w:tc>
          <w:tcPr>
            <w:tcW w:w="4068" w:type="dxa"/>
          </w:tcPr>
          <w:p w:rsidR="007155E9" w:rsidRDefault="002874A3">
            <w:pPr>
              <w:widowControl w:val="0"/>
              <w:spacing w:after="0" w:line="240" w:lineRule="auto"/>
              <w:jc w:val="both"/>
              <w:rPr>
                <w:rFonts w:ascii="Times New Roman" w:hAnsi="Times New Roman"/>
                <w:b/>
                <w:sz w:val="16"/>
              </w:rPr>
            </w:pPr>
            <w:r>
              <w:rPr>
                <w:rFonts w:ascii="Times New Roman" w:hAnsi="Times New Roman"/>
                <w:sz w:val="28"/>
              </w:rPr>
              <w:t>____  _______________ 2023 р.</w:t>
            </w:r>
          </w:p>
        </w:tc>
        <w:tc>
          <w:tcPr>
            <w:tcW w:w="1980" w:type="dxa"/>
            <w:tcBorders>
              <w:top w:val="single" w:sz="4" w:space="0" w:color="auto"/>
              <w:left w:val="nil"/>
              <w:bottom w:val="nil"/>
              <w:right w:val="nil"/>
            </w:tcBorders>
          </w:tcPr>
          <w:p w:rsidR="007155E9" w:rsidRDefault="002874A3">
            <w:pPr>
              <w:widowControl w:val="0"/>
              <w:spacing w:after="0" w:line="240" w:lineRule="auto"/>
              <w:jc w:val="center"/>
              <w:rPr>
                <w:rFonts w:ascii="Times New Roman" w:hAnsi="Times New Roman"/>
                <w:sz w:val="20"/>
              </w:rPr>
            </w:pPr>
            <w:r>
              <w:rPr>
                <w:rFonts w:ascii="Times New Roman" w:hAnsi="Times New Roman"/>
                <w:sz w:val="20"/>
              </w:rPr>
              <w:t>Підпис</w:t>
            </w:r>
          </w:p>
        </w:tc>
        <w:tc>
          <w:tcPr>
            <w:tcW w:w="3420" w:type="dxa"/>
            <w:tcBorders>
              <w:top w:val="single" w:sz="4" w:space="0" w:color="auto"/>
              <w:left w:val="nil"/>
              <w:bottom w:val="nil"/>
              <w:right w:val="nil"/>
            </w:tcBorders>
          </w:tcPr>
          <w:p w:rsidR="007155E9" w:rsidRDefault="002874A3">
            <w:pPr>
              <w:widowControl w:val="0"/>
              <w:spacing w:after="0" w:line="240" w:lineRule="auto"/>
              <w:ind w:left="-57" w:right="-57"/>
              <w:jc w:val="center"/>
              <w:rPr>
                <w:rFonts w:ascii="Times New Roman" w:hAnsi="Times New Roman"/>
                <w:sz w:val="16"/>
              </w:rPr>
            </w:pPr>
            <w:r>
              <w:rPr>
                <w:rFonts w:ascii="Times New Roman" w:hAnsi="Times New Roman"/>
                <w:sz w:val="20"/>
              </w:rPr>
              <w:t>(Ім’я та прізвище)</w:t>
            </w:r>
          </w:p>
        </w:tc>
      </w:tr>
    </w:tbl>
    <w:p w:rsidR="007155E9" w:rsidRDefault="007155E9">
      <w:pPr>
        <w:spacing w:after="0" w:line="240" w:lineRule="auto"/>
        <w:ind w:firstLine="720"/>
        <w:jc w:val="both"/>
        <w:rPr>
          <w:rFonts w:ascii="Times New Roman" w:hAnsi="Times New Roman"/>
          <w:sz w:val="28"/>
        </w:rPr>
      </w:pPr>
    </w:p>
    <w:sectPr w:rsidR="007155E9">
      <w:headerReference w:type="even" r:id="rId35"/>
      <w:headerReference w:type="default" r:id="rId36"/>
      <w:pgSz w:w="12240" w:h="15840"/>
      <w:pgMar w:top="1738" w:right="850" w:bottom="1133" w:left="1700" w:header="1133" w:footer="0"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054" w:rsidRDefault="00921054">
      <w:pPr>
        <w:spacing w:after="0" w:line="240" w:lineRule="auto"/>
      </w:pPr>
      <w:r>
        <w:separator/>
      </w:r>
    </w:p>
  </w:endnote>
  <w:endnote w:type="continuationSeparator" w:id="0">
    <w:p w:rsidR="00921054" w:rsidRDefault="00921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054" w:rsidRDefault="00921054">
      <w:pPr>
        <w:spacing w:after="0" w:line="240" w:lineRule="auto"/>
      </w:pPr>
      <w:r>
        <w:separator/>
      </w:r>
    </w:p>
  </w:footnote>
  <w:footnote w:type="continuationSeparator" w:id="0">
    <w:p w:rsidR="00921054" w:rsidRDefault="00921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5E9" w:rsidRDefault="002874A3">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rsidR="007155E9" w:rsidRDefault="007155E9">
    <w:pPr>
      <w:pStyle w:val="a9"/>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5E9" w:rsidRDefault="002874A3">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8A305F">
      <w:rPr>
        <w:rStyle w:val="af4"/>
        <w:noProof/>
      </w:rPr>
      <w:t>21</w:t>
    </w:r>
    <w:r>
      <w:rPr>
        <w:rStyle w:val="af4"/>
      </w:rPr>
      <w:fldChar w:fldCharType="end"/>
    </w:r>
  </w:p>
  <w:p w:rsidR="007155E9" w:rsidRDefault="007155E9">
    <w:pPr>
      <w:spacing w:after="0" w:line="240" w:lineRule="auto"/>
      <w:ind w:right="360"/>
      <w:rPr>
        <w:rFonts w:ascii="Times New Roman" w:hAnsi="Times New Roman"/>
        <w:sz w:val="28"/>
      </w:rPr>
    </w:pPr>
  </w:p>
  <w:p w:rsidR="007155E9" w:rsidRDefault="007155E9">
    <w:pPr>
      <w:spacing w:after="0" w:line="240" w:lineRule="auto"/>
      <w:rPr>
        <w:rFonts w:ascii="Times New Roman" w:hAnsi="Times New Roman"/>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1506"/>
    <w:multiLevelType w:val="hybridMultilevel"/>
    <w:tmpl w:val="0144E944"/>
    <w:lvl w:ilvl="0" w:tplc="8C86527C">
      <w:start w:val="1"/>
      <w:numFmt w:val="bullet"/>
      <w:lvlText w:val=""/>
      <w:lvlJc w:val="left"/>
      <w:pPr>
        <w:tabs>
          <w:tab w:val="left" w:pos="720"/>
        </w:tabs>
        <w:ind w:left="720" w:hanging="360"/>
      </w:pPr>
      <w:rPr>
        <w:rFonts w:ascii="Symbol" w:hAnsi="Symbol"/>
        <w:sz w:val="20"/>
      </w:rPr>
    </w:lvl>
    <w:lvl w:ilvl="1" w:tplc="D2966EA8">
      <w:start w:val="1"/>
      <w:numFmt w:val="bullet"/>
      <w:lvlText w:val=""/>
      <w:lvlJc w:val="left"/>
      <w:pPr>
        <w:tabs>
          <w:tab w:val="left" w:pos="1440"/>
        </w:tabs>
        <w:ind w:left="1440" w:hanging="360"/>
      </w:pPr>
      <w:rPr>
        <w:rFonts w:ascii="Symbol" w:hAnsi="Symbol"/>
        <w:sz w:val="20"/>
      </w:rPr>
    </w:lvl>
    <w:lvl w:ilvl="2" w:tplc="9E28E17C">
      <w:start w:val="1"/>
      <w:numFmt w:val="bullet"/>
      <w:lvlText w:val=""/>
      <w:lvlJc w:val="left"/>
      <w:pPr>
        <w:tabs>
          <w:tab w:val="left" w:pos="2160"/>
        </w:tabs>
        <w:ind w:left="2160" w:hanging="360"/>
      </w:pPr>
      <w:rPr>
        <w:rFonts w:ascii="Symbol" w:hAnsi="Symbol"/>
        <w:sz w:val="20"/>
      </w:rPr>
    </w:lvl>
    <w:lvl w:ilvl="3" w:tplc="0C823A1E">
      <w:start w:val="1"/>
      <w:numFmt w:val="bullet"/>
      <w:lvlText w:val=""/>
      <w:lvlJc w:val="left"/>
      <w:pPr>
        <w:tabs>
          <w:tab w:val="left" w:pos="2880"/>
        </w:tabs>
        <w:ind w:left="2880" w:hanging="360"/>
      </w:pPr>
      <w:rPr>
        <w:rFonts w:ascii="Symbol" w:hAnsi="Symbol"/>
        <w:sz w:val="20"/>
      </w:rPr>
    </w:lvl>
    <w:lvl w:ilvl="4" w:tplc="E7148108">
      <w:start w:val="1"/>
      <w:numFmt w:val="bullet"/>
      <w:lvlText w:val=""/>
      <w:lvlJc w:val="left"/>
      <w:pPr>
        <w:tabs>
          <w:tab w:val="left" w:pos="3600"/>
        </w:tabs>
        <w:ind w:left="3600" w:hanging="360"/>
      </w:pPr>
      <w:rPr>
        <w:rFonts w:ascii="Symbol" w:hAnsi="Symbol"/>
        <w:sz w:val="20"/>
      </w:rPr>
    </w:lvl>
    <w:lvl w:ilvl="5" w:tplc="76121692">
      <w:start w:val="1"/>
      <w:numFmt w:val="bullet"/>
      <w:lvlText w:val=""/>
      <w:lvlJc w:val="left"/>
      <w:pPr>
        <w:tabs>
          <w:tab w:val="left" w:pos="4320"/>
        </w:tabs>
        <w:ind w:left="4320" w:hanging="360"/>
      </w:pPr>
      <w:rPr>
        <w:rFonts w:ascii="Symbol" w:hAnsi="Symbol"/>
        <w:sz w:val="20"/>
      </w:rPr>
    </w:lvl>
    <w:lvl w:ilvl="6" w:tplc="27AC6D9E">
      <w:start w:val="1"/>
      <w:numFmt w:val="bullet"/>
      <w:lvlText w:val=""/>
      <w:lvlJc w:val="left"/>
      <w:pPr>
        <w:tabs>
          <w:tab w:val="left" w:pos="5040"/>
        </w:tabs>
        <w:ind w:left="5040" w:hanging="360"/>
      </w:pPr>
      <w:rPr>
        <w:rFonts w:ascii="Symbol" w:hAnsi="Symbol"/>
        <w:sz w:val="20"/>
      </w:rPr>
    </w:lvl>
    <w:lvl w:ilvl="7" w:tplc="A10E2012">
      <w:start w:val="1"/>
      <w:numFmt w:val="bullet"/>
      <w:lvlText w:val=""/>
      <w:lvlJc w:val="left"/>
      <w:pPr>
        <w:tabs>
          <w:tab w:val="left" w:pos="5760"/>
        </w:tabs>
        <w:ind w:left="5760" w:hanging="360"/>
      </w:pPr>
      <w:rPr>
        <w:rFonts w:ascii="Symbol" w:hAnsi="Symbol"/>
        <w:sz w:val="20"/>
      </w:rPr>
    </w:lvl>
    <w:lvl w:ilvl="8" w:tplc="D8B427FE">
      <w:start w:val="1"/>
      <w:numFmt w:val="bullet"/>
      <w:lvlText w:val=""/>
      <w:lvlJc w:val="left"/>
      <w:pPr>
        <w:tabs>
          <w:tab w:val="left" w:pos="6480"/>
        </w:tabs>
        <w:ind w:left="6480" w:hanging="360"/>
      </w:pPr>
      <w:rPr>
        <w:rFonts w:ascii="Symbol" w:hAnsi="Symbol"/>
        <w:sz w:val="20"/>
      </w:rPr>
    </w:lvl>
  </w:abstractNum>
  <w:abstractNum w:abstractNumId="1" w15:restartNumberingAfterBreak="0">
    <w:nsid w:val="04E15EFF"/>
    <w:multiLevelType w:val="hybridMultilevel"/>
    <w:tmpl w:val="A8C62908"/>
    <w:lvl w:ilvl="0" w:tplc="80DABAE2">
      <w:start w:val="1"/>
      <w:numFmt w:val="bullet"/>
      <w:lvlText w:val=""/>
      <w:lvlJc w:val="left"/>
      <w:pPr>
        <w:tabs>
          <w:tab w:val="left" w:pos="720"/>
        </w:tabs>
        <w:ind w:left="720" w:hanging="360"/>
      </w:pPr>
      <w:rPr>
        <w:rFonts w:ascii="Symbol" w:hAnsi="Symbol"/>
        <w:sz w:val="20"/>
      </w:rPr>
    </w:lvl>
    <w:lvl w:ilvl="1" w:tplc="F8489712">
      <w:start w:val="1"/>
      <w:numFmt w:val="bullet"/>
      <w:lvlText w:val="o"/>
      <w:lvlJc w:val="left"/>
      <w:pPr>
        <w:tabs>
          <w:tab w:val="left" w:pos="1440"/>
        </w:tabs>
        <w:ind w:left="1440" w:hanging="360"/>
      </w:pPr>
      <w:rPr>
        <w:rFonts w:ascii="Courier New" w:hAnsi="Courier New"/>
        <w:sz w:val="20"/>
      </w:rPr>
    </w:lvl>
    <w:lvl w:ilvl="2" w:tplc="3322F22A">
      <w:start w:val="1"/>
      <w:numFmt w:val="bullet"/>
      <w:lvlText w:val=""/>
      <w:lvlJc w:val="left"/>
      <w:pPr>
        <w:tabs>
          <w:tab w:val="left" w:pos="2160"/>
        </w:tabs>
        <w:ind w:left="2160" w:hanging="360"/>
      </w:pPr>
      <w:rPr>
        <w:rFonts w:ascii="Wingdings" w:hAnsi="Wingdings"/>
        <w:sz w:val="20"/>
      </w:rPr>
    </w:lvl>
    <w:lvl w:ilvl="3" w:tplc="F48084E0">
      <w:start w:val="1"/>
      <w:numFmt w:val="bullet"/>
      <w:lvlText w:val=""/>
      <w:lvlJc w:val="left"/>
      <w:pPr>
        <w:tabs>
          <w:tab w:val="left" w:pos="2880"/>
        </w:tabs>
        <w:ind w:left="2880" w:hanging="360"/>
      </w:pPr>
      <w:rPr>
        <w:rFonts w:ascii="Wingdings" w:hAnsi="Wingdings"/>
        <w:sz w:val="20"/>
      </w:rPr>
    </w:lvl>
    <w:lvl w:ilvl="4" w:tplc="0408F5D2">
      <w:start w:val="1"/>
      <w:numFmt w:val="bullet"/>
      <w:lvlText w:val=""/>
      <w:lvlJc w:val="left"/>
      <w:pPr>
        <w:tabs>
          <w:tab w:val="left" w:pos="3600"/>
        </w:tabs>
        <w:ind w:left="3600" w:hanging="360"/>
      </w:pPr>
      <w:rPr>
        <w:rFonts w:ascii="Wingdings" w:hAnsi="Wingdings"/>
        <w:sz w:val="20"/>
      </w:rPr>
    </w:lvl>
    <w:lvl w:ilvl="5" w:tplc="FB0A335C">
      <w:start w:val="1"/>
      <w:numFmt w:val="bullet"/>
      <w:lvlText w:val=""/>
      <w:lvlJc w:val="left"/>
      <w:pPr>
        <w:tabs>
          <w:tab w:val="left" w:pos="4320"/>
        </w:tabs>
        <w:ind w:left="4320" w:hanging="360"/>
      </w:pPr>
      <w:rPr>
        <w:rFonts w:ascii="Wingdings" w:hAnsi="Wingdings"/>
        <w:sz w:val="20"/>
      </w:rPr>
    </w:lvl>
    <w:lvl w:ilvl="6" w:tplc="DC8A442C">
      <w:start w:val="1"/>
      <w:numFmt w:val="bullet"/>
      <w:lvlText w:val=""/>
      <w:lvlJc w:val="left"/>
      <w:pPr>
        <w:tabs>
          <w:tab w:val="left" w:pos="5040"/>
        </w:tabs>
        <w:ind w:left="5040" w:hanging="360"/>
      </w:pPr>
      <w:rPr>
        <w:rFonts w:ascii="Wingdings" w:hAnsi="Wingdings"/>
        <w:sz w:val="20"/>
      </w:rPr>
    </w:lvl>
    <w:lvl w:ilvl="7" w:tplc="ABFEC726">
      <w:start w:val="1"/>
      <w:numFmt w:val="bullet"/>
      <w:lvlText w:val=""/>
      <w:lvlJc w:val="left"/>
      <w:pPr>
        <w:tabs>
          <w:tab w:val="left" w:pos="5760"/>
        </w:tabs>
        <w:ind w:left="5760" w:hanging="360"/>
      </w:pPr>
      <w:rPr>
        <w:rFonts w:ascii="Wingdings" w:hAnsi="Wingdings"/>
        <w:sz w:val="20"/>
      </w:rPr>
    </w:lvl>
    <w:lvl w:ilvl="8" w:tplc="B35C5486">
      <w:start w:val="1"/>
      <w:numFmt w:val="bullet"/>
      <w:lvlText w:val=""/>
      <w:lvlJc w:val="left"/>
      <w:pPr>
        <w:tabs>
          <w:tab w:val="left" w:pos="6480"/>
        </w:tabs>
        <w:ind w:left="6480" w:hanging="360"/>
      </w:pPr>
      <w:rPr>
        <w:rFonts w:ascii="Wingdings" w:hAnsi="Wingdings"/>
        <w:sz w:val="20"/>
      </w:rPr>
    </w:lvl>
  </w:abstractNum>
  <w:abstractNum w:abstractNumId="2" w15:restartNumberingAfterBreak="0">
    <w:nsid w:val="04E501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F6561A"/>
    <w:multiLevelType w:val="hybridMultilevel"/>
    <w:tmpl w:val="31FC0D26"/>
    <w:lvl w:ilvl="0" w:tplc="BADC21A0">
      <w:start w:val="1"/>
      <w:numFmt w:val="bullet"/>
      <w:lvlText w:val=""/>
      <w:lvlJc w:val="left"/>
      <w:pPr>
        <w:tabs>
          <w:tab w:val="left" w:pos="720"/>
        </w:tabs>
        <w:ind w:left="720" w:hanging="360"/>
      </w:pPr>
      <w:rPr>
        <w:rFonts w:ascii="Symbol" w:hAnsi="Symbol"/>
        <w:sz w:val="20"/>
      </w:rPr>
    </w:lvl>
    <w:lvl w:ilvl="1" w:tplc="4CBE6B4C">
      <w:start w:val="1"/>
      <w:numFmt w:val="bullet"/>
      <w:lvlText w:val=""/>
      <w:lvlJc w:val="left"/>
      <w:pPr>
        <w:tabs>
          <w:tab w:val="left" w:pos="1440"/>
        </w:tabs>
        <w:ind w:left="1440" w:hanging="360"/>
      </w:pPr>
      <w:rPr>
        <w:rFonts w:ascii="Symbol" w:hAnsi="Symbol"/>
        <w:sz w:val="20"/>
      </w:rPr>
    </w:lvl>
    <w:lvl w:ilvl="2" w:tplc="B040FDC4">
      <w:start w:val="1"/>
      <w:numFmt w:val="bullet"/>
      <w:lvlText w:val=""/>
      <w:lvlJc w:val="left"/>
      <w:pPr>
        <w:tabs>
          <w:tab w:val="left" w:pos="2160"/>
        </w:tabs>
        <w:ind w:left="2160" w:hanging="360"/>
      </w:pPr>
      <w:rPr>
        <w:rFonts w:ascii="Symbol" w:hAnsi="Symbol"/>
        <w:sz w:val="20"/>
      </w:rPr>
    </w:lvl>
    <w:lvl w:ilvl="3" w:tplc="E3084AAE">
      <w:start w:val="1"/>
      <w:numFmt w:val="bullet"/>
      <w:lvlText w:val=""/>
      <w:lvlJc w:val="left"/>
      <w:pPr>
        <w:tabs>
          <w:tab w:val="left" w:pos="2880"/>
        </w:tabs>
        <w:ind w:left="2880" w:hanging="360"/>
      </w:pPr>
      <w:rPr>
        <w:rFonts w:ascii="Symbol" w:hAnsi="Symbol"/>
        <w:sz w:val="20"/>
      </w:rPr>
    </w:lvl>
    <w:lvl w:ilvl="4" w:tplc="74A42530">
      <w:start w:val="1"/>
      <w:numFmt w:val="bullet"/>
      <w:lvlText w:val=""/>
      <w:lvlJc w:val="left"/>
      <w:pPr>
        <w:tabs>
          <w:tab w:val="left" w:pos="3600"/>
        </w:tabs>
        <w:ind w:left="3600" w:hanging="360"/>
      </w:pPr>
      <w:rPr>
        <w:rFonts w:ascii="Symbol" w:hAnsi="Symbol"/>
        <w:sz w:val="20"/>
      </w:rPr>
    </w:lvl>
    <w:lvl w:ilvl="5" w:tplc="E5BC1936">
      <w:start w:val="1"/>
      <w:numFmt w:val="bullet"/>
      <w:lvlText w:val=""/>
      <w:lvlJc w:val="left"/>
      <w:pPr>
        <w:tabs>
          <w:tab w:val="left" w:pos="4320"/>
        </w:tabs>
        <w:ind w:left="4320" w:hanging="360"/>
      </w:pPr>
      <w:rPr>
        <w:rFonts w:ascii="Symbol" w:hAnsi="Symbol"/>
        <w:sz w:val="20"/>
      </w:rPr>
    </w:lvl>
    <w:lvl w:ilvl="6" w:tplc="6DF6F084">
      <w:start w:val="1"/>
      <w:numFmt w:val="bullet"/>
      <w:lvlText w:val=""/>
      <w:lvlJc w:val="left"/>
      <w:pPr>
        <w:tabs>
          <w:tab w:val="left" w:pos="5040"/>
        </w:tabs>
        <w:ind w:left="5040" w:hanging="360"/>
      </w:pPr>
      <w:rPr>
        <w:rFonts w:ascii="Symbol" w:hAnsi="Symbol"/>
        <w:sz w:val="20"/>
      </w:rPr>
    </w:lvl>
    <w:lvl w:ilvl="7" w:tplc="BDE0C394">
      <w:start w:val="1"/>
      <w:numFmt w:val="bullet"/>
      <w:lvlText w:val=""/>
      <w:lvlJc w:val="left"/>
      <w:pPr>
        <w:tabs>
          <w:tab w:val="left" w:pos="5760"/>
        </w:tabs>
        <w:ind w:left="5760" w:hanging="360"/>
      </w:pPr>
      <w:rPr>
        <w:rFonts w:ascii="Symbol" w:hAnsi="Symbol"/>
        <w:sz w:val="20"/>
      </w:rPr>
    </w:lvl>
    <w:lvl w:ilvl="8" w:tplc="92C636B0">
      <w:start w:val="1"/>
      <w:numFmt w:val="bullet"/>
      <w:lvlText w:val=""/>
      <w:lvlJc w:val="left"/>
      <w:pPr>
        <w:tabs>
          <w:tab w:val="left" w:pos="6480"/>
        </w:tabs>
        <w:ind w:left="6480" w:hanging="360"/>
      </w:pPr>
      <w:rPr>
        <w:rFonts w:ascii="Symbol" w:hAnsi="Symbol"/>
        <w:sz w:val="20"/>
      </w:rPr>
    </w:lvl>
  </w:abstractNum>
  <w:abstractNum w:abstractNumId="4" w15:restartNumberingAfterBreak="0">
    <w:nsid w:val="0952C3CA"/>
    <w:multiLevelType w:val="hybridMultilevel"/>
    <w:tmpl w:val="536CC95E"/>
    <w:lvl w:ilvl="0" w:tplc="2A607770">
      <w:start w:val="1"/>
      <w:numFmt w:val="decimal"/>
      <w:lvlText w:val="%1."/>
      <w:lvlJc w:val="left"/>
      <w:pPr>
        <w:ind w:left="720" w:hanging="360"/>
      </w:pPr>
    </w:lvl>
    <w:lvl w:ilvl="1" w:tplc="775069EE">
      <w:start w:val="1"/>
      <w:numFmt w:val="decimal"/>
      <w:lvlText w:val="%2."/>
      <w:lvlJc w:val="left"/>
      <w:pPr>
        <w:ind w:left="1440" w:hanging="360"/>
      </w:pPr>
    </w:lvl>
    <w:lvl w:ilvl="2" w:tplc="0E1CCC3C">
      <w:start w:val="1"/>
      <w:numFmt w:val="decimal"/>
      <w:lvlText w:val="%3."/>
      <w:lvlJc w:val="left"/>
      <w:pPr>
        <w:ind w:left="2160" w:hanging="360"/>
      </w:pPr>
    </w:lvl>
    <w:lvl w:ilvl="3" w:tplc="4231DD38">
      <w:start w:val="1"/>
      <w:numFmt w:val="decimal"/>
      <w:lvlText w:val="%4."/>
      <w:lvlJc w:val="left"/>
      <w:pPr>
        <w:ind w:left="2880" w:hanging="360"/>
      </w:pPr>
    </w:lvl>
    <w:lvl w:ilvl="4" w:tplc="52B7060D">
      <w:start w:val="1"/>
      <w:numFmt w:val="decimal"/>
      <w:lvlText w:val="%5."/>
      <w:lvlJc w:val="left"/>
      <w:pPr>
        <w:ind w:left="3600" w:hanging="360"/>
      </w:pPr>
    </w:lvl>
    <w:lvl w:ilvl="5" w:tplc="4A23ECEF">
      <w:start w:val="1"/>
      <w:numFmt w:val="decimal"/>
      <w:lvlText w:val="%6."/>
      <w:lvlJc w:val="left"/>
      <w:pPr>
        <w:ind w:left="4320" w:hanging="360"/>
      </w:pPr>
    </w:lvl>
    <w:lvl w:ilvl="6" w:tplc="00CBF195">
      <w:start w:val="1"/>
      <w:numFmt w:val="decimal"/>
      <w:lvlText w:val="%7."/>
      <w:lvlJc w:val="left"/>
      <w:pPr>
        <w:ind w:left="5040" w:hanging="360"/>
      </w:pPr>
    </w:lvl>
    <w:lvl w:ilvl="7" w:tplc="68C18F21">
      <w:start w:val="1"/>
      <w:numFmt w:val="decimal"/>
      <w:lvlText w:val="%8."/>
      <w:lvlJc w:val="left"/>
      <w:pPr>
        <w:ind w:left="5760" w:hanging="360"/>
      </w:pPr>
    </w:lvl>
    <w:lvl w:ilvl="8" w:tplc="6D1958E6">
      <w:start w:val="1"/>
      <w:numFmt w:val="decimal"/>
      <w:lvlText w:val="%9."/>
      <w:lvlJc w:val="left"/>
      <w:pPr>
        <w:ind w:left="6480" w:hanging="360"/>
      </w:pPr>
    </w:lvl>
  </w:abstractNum>
  <w:abstractNum w:abstractNumId="5" w15:restartNumberingAfterBreak="0">
    <w:nsid w:val="09FAF55A"/>
    <w:multiLevelType w:val="hybridMultilevel"/>
    <w:tmpl w:val="6C741B10"/>
    <w:lvl w:ilvl="0" w:tplc="3EFCA3A1">
      <w:start w:val="1"/>
      <w:numFmt w:val="decimal"/>
      <w:lvlText w:val="%1."/>
      <w:lvlJc w:val="left"/>
      <w:pPr>
        <w:ind w:left="720" w:hanging="360"/>
      </w:pPr>
    </w:lvl>
    <w:lvl w:ilvl="1" w:tplc="180BB070">
      <w:start w:val="1"/>
      <w:numFmt w:val="decimal"/>
      <w:lvlText w:val="%2."/>
      <w:lvlJc w:val="left"/>
      <w:pPr>
        <w:ind w:left="1440" w:hanging="360"/>
      </w:pPr>
    </w:lvl>
    <w:lvl w:ilvl="2" w:tplc="7FCD3022">
      <w:start w:val="1"/>
      <w:numFmt w:val="decimal"/>
      <w:lvlText w:val="%3."/>
      <w:lvlJc w:val="left"/>
      <w:pPr>
        <w:ind w:left="2160" w:hanging="360"/>
      </w:pPr>
    </w:lvl>
    <w:lvl w:ilvl="3" w:tplc="64EBFCE4">
      <w:start w:val="1"/>
      <w:numFmt w:val="decimal"/>
      <w:lvlText w:val="%4."/>
      <w:lvlJc w:val="left"/>
      <w:pPr>
        <w:ind w:left="2880" w:hanging="360"/>
      </w:pPr>
    </w:lvl>
    <w:lvl w:ilvl="4" w:tplc="08626E5D">
      <w:start w:val="1"/>
      <w:numFmt w:val="decimal"/>
      <w:lvlText w:val="%5."/>
      <w:lvlJc w:val="left"/>
      <w:pPr>
        <w:ind w:left="3600" w:hanging="360"/>
      </w:pPr>
    </w:lvl>
    <w:lvl w:ilvl="5" w:tplc="45C8DB9A">
      <w:start w:val="1"/>
      <w:numFmt w:val="decimal"/>
      <w:lvlText w:val="%6."/>
      <w:lvlJc w:val="left"/>
      <w:pPr>
        <w:ind w:left="4320" w:hanging="360"/>
      </w:pPr>
    </w:lvl>
    <w:lvl w:ilvl="6" w:tplc="7B2021C9">
      <w:start w:val="1"/>
      <w:numFmt w:val="decimal"/>
      <w:lvlText w:val="%7."/>
      <w:lvlJc w:val="left"/>
      <w:pPr>
        <w:ind w:left="5040" w:hanging="360"/>
      </w:pPr>
    </w:lvl>
    <w:lvl w:ilvl="7" w:tplc="0F102DA7">
      <w:start w:val="1"/>
      <w:numFmt w:val="decimal"/>
      <w:lvlText w:val="%8."/>
      <w:lvlJc w:val="left"/>
      <w:pPr>
        <w:ind w:left="5760" w:hanging="360"/>
      </w:pPr>
    </w:lvl>
    <w:lvl w:ilvl="8" w:tplc="3492B672">
      <w:start w:val="1"/>
      <w:numFmt w:val="decimal"/>
      <w:lvlText w:val="%9."/>
      <w:lvlJc w:val="left"/>
      <w:pPr>
        <w:ind w:left="6480" w:hanging="360"/>
      </w:pPr>
    </w:lvl>
  </w:abstractNum>
  <w:abstractNum w:abstractNumId="6" w15:restartNumberingAfterBreak="0">
    <w:nsid w:val="103DEB46"/>
    <w:multiLevelType w:val="hybridMultilevel"/>
    <w:tmpl w:val="0F6CFD78"/>
    <w:lvl w:ilvl="0" w:tplc="7434E6A8">
      <w:start w:val="1"/>
      <w:numFmt w:val="decimal"/>
      <w:lvlText w:val="%1."/>
      <w:lvlJc w:val="left"/>
      <w:pPr>
        <w:ind w:left="720" w:hanging="360"/>
      </w:pPr>
    </w:lvl>
    <w:lvl w:ilvl="1" w:tplc="507BC938">
      <w:start w:val="1"/>
      <w:numFmt w:val="decimal"/>
      <w:lvlText w:val="%2."/>
      <w:lvlJc w:val="left"/>
      <w:pPr>
        <w:ind w:left="1440" w:hanging="360"/>
      </w:pPr>
    </w:lvl>
    <w:lvl w:ilvl="2" w:tplc="00CF9743">
      <w:start w:val="1"/>
      <w:numFmt w:val="decimal"/>
      <w:lvlText w:val="%3."/>
      <w:lvlJc w:val="left"/>
      <w:pPr>
        <w:ind w:left="2160" w:hanging="360"/>
      </w:pPr>
    </w:lvl>
    <w:lvl w:ilvl="3" w:tplc="67B18389">
      <w:start w:val="1"/>
      <w:numFmt w:val="decimal"/>
      <w:lvlText w:val="%4."/>
      <w:lvlJc w:val="left"/>
      <w:pPr>
        <w:ind w:left="2880" w:hanging="360"/>
      </w:pPr>
    </w:lvl>
    <w:lvl w:ilvl="4" w:tplc="74FDB6D5">
      <w:start w:val="1"/>
      <w:numFmt w:val="decimal"/>
      <w:lvlText w:val="%5."/>
      <w:lvlJc w:val="left"/>
      <w:pPr>
        <w:ind w:left="3600" w:hanging="360"/>
      </w:pPr>
    </w:lvl>
    <w:lvl w:ilvl="5" w:tplc="512F921D">
      <w:start w:val="1"/>
      <w:numFmt w:val="decimal"/>
      <w:lvlText w:val="%6."/>
      <w:lvlJc w:val="left"/>
      <w:pPr>
        <w:ind w:left="4320" w:hanging="360"/>
      </w:pPr>
    </w:lvl>
    <w:lvl w:ilvl="6" w:tplc="2F191B64">
      <w:start w:val="1"/>
      <w:numFmt w:val="decimal"/>
      <w:lvlText w:val="%7."/>
      <w:lvlJc w:val="left"/>
      <w:pPr>
        <w:ind w:left="5040" w:hanging="360"/>
      </w:pPr>
    </w:lvl>
    <w:lvl w:ilvl="7" w:tplc="4B621238">
      <w:start w:val="1"/>
      <w:numFmt w:val="decimal"/>
      <w:lvlText w:val="%8."/>
      <w:lvlJc w:val="left"/>
      <w:pPr>
        <w:ind w:left="5760" w:hanging="360"/>
      </w:pPr>
    </w:lvl>
    <w:lvl w:ilvl="8" w:tplc="149557E4">
      <w:start w:val="1"/>
      <w:numFmt w:val="decimal"/>
      <w:lvlText w:val="%9."/>
      <w:lvlJc w:val="left"/>
      <w:pPr>
        <w:ind w:left="6480" w:hanging="360"/>
      </w:pPr>
    </w:lvl>
  </w:abstractNum>
  <w:abstractNum w:abstractNumId="7" w15:restartNumberingAfterBreak="0">
    <w:nsid w:val="11862D6A"/>
    <w:multiLevelType w:val="hybridMultilevel"/>
    <w:tmpl w:val="B3CE8010"/>
    <w:lvl w:ilvl="0" w:tplc="5CC3702B">
      <w:start w:val="1"/>
      <w:numFmt w:val="decimal"/>
      <w:lvlText w:val="%1."/>
      <w:lvlJc w:val="left"/>
      <w:pPr>
        <w:ind w:left="720" w:hanging="360"/>
      </w:pPr>
    </w:lvl>
    <w:lvl w:ilvl="1" w:tplc="44B3C7F4">
      <w:start w:val="1"/>
      <w:numFmt w:val="decimal"/>
      <w:lvlText w:val="%2."/>
      <w:lvlJc w:val="left"/>
      <w:pPr>
        <w:ind w:left="1440" w:hanging="360"/>
      </w:pPr>
    </w:lvl>
    <w:lvl w:ilvl="2" w:tplc="3A542003">
      <w:start w:val="1"/>
      <w:numFmt w:val="decimal"/>
      <w:lvlText w:val="%3."/>
      <w:lvlJc w:val="left"/>
      <w:pPr>
        <w:ind w:left="2160" w:hanging="360"/>
      </w:pPr>
    </w:lvl>
    <w:lvl w:ilvl="3" w:tplc="47A701CD">
      <w:start w:val="1"/>
      <w:numFmt w:val="decimal"/>
      <w:lvlText w:val="%4."/>
      <w:lvlJc w:val="left"/>
      <w:pPr>
        <w:ind w:left="2880" w:hanging="360"/>
      </w:pPr>
    </w:lvl>
    <w:lvl w:ilvl="4" w:tplc="79E33CDF">
      <w:start w:val="1"/>
      <w:numFmt w:val="decimal"/>
      <w:lvlText w:val="%5."/>
      <w:lvlJc w:val="left"/>
      <w:pPr>
        <w:ind w:left="3600" w:hanging="360"/>
      </w:pPr>
    </w:lvl>
    <w:lvl w:ilvl="5" w:tplc="136D80FD">
      <w:start w:val="1"/>
      <w:numFmt w:val="decimal"/>
      <w:lvlText w:val="%6."/>
      <w:lvlJc w:val="left"/>
      <w:pPr>
        <w:ind w:left="4320" w:hanging="360"/>
      </w:pPr>
    </w:lvl>
    <w:lvl w:ilvl="6" w:tplc="7C5A52BD">
      <w:start w:val="1"/>
      <w:numFmt w:val="decimal"/>
      <w:lvlText w:val="%7."/>
      <w:lvlJc w:val="left"/>
      <w:pPr>
        <w:ind w:left="5040" w:hanging="360"/>
      </w:pPr>
    </w:lvl>
    <w:lvl w:ilvl="7" w:tplc="4E21F9F6">
      <w:start w:val="1"/>
      <w:numFmt w:val="decimal"/>
      <w:lvlText w:val="%8."/>
      <w:lvlJc w:val="left"/>
      <w:pPr>
        <w:ind w:left="5760" w:hanging="360"/>
      </w:pPr>
    </w:lvl>
    <w:lvl w:ilvl="8" w:tplc="73F5EDF9">
      <w:start w:val="1"/>
      <w:numFmt w:val="decimal"/>
      <w:lvlText w:val="%9."/>
      <w:lvlJc w:val="left"/>
      <w:pPr>
        <w:ind w:left="6480" w:hanging="360"/>
      </w:pPr>
    </w:lvl>
  </w:abstractNum>
  <w:abstractNum w:abstractNumId="8" w15:restartNumberingAfterBreak="0">
    <w:nsid w:val="13376D53"/>
    <w:multiLevelType w:val="hybridMultilevel"/>
    <w:tmpl w:val="41EA3774"/>
    <w:lvl w:ilvl="0" w:tplc="04CB2B47">
      <w:start w:val="1"/>
      <w:numFmt w:val="decimal"/>
      <w:lvlText w:val="%1."/>
      <w:lvlJc w:val="left"/>
      <w:pPr>
        <w:ind w:left="720" w:hanging="360"/>
      </w:pPr>
    </w:lvl>
    <w:lvl w:ilvl="1" w:tplc="3855DA26">
      <w:start w:val="1"/>
      <w:numFmt w:val="decimal"/>
      <w:lvlText w:val="%2."/>
      <w:lvlJc w:val="left"/>
      <w:pPr>
        <w:ind w:left="1440" w:hanging="360"/>
      </w:pPr>
    </w:lvl>
    <w:lvl w:ilvl="2" w:tplc="6A9FA022">
      <w:start w:val="1"/>
      <w:numFmt w:val="decimal"/>
      <w:lvlText w:val="%3."/>
      <w:lvlJc w:val="left"/>
      <w:pPr>
        <w:ind w:left="2160" w:hanging="360"/>
      </w:pPr>
    </w:lvl>
    <w:lvl w:ilvl="3" w:tplc="275E428B">
      <w:start w:val="1"/>
      <w:numFmt w:val="decimal"/>
      <w:lvlText w:val="%4."/>
      <w:lvlJc w:val="left"/>
      <w:pPr>
        <w:ind w:left="2880" w:hanging="360"/>
      </w:pPr>
    </w:lvl>
    <w:lvl w:ilvl="4" w:tplc="45A435BB">
      <w:start w:val="1"/>
      <w:numFmt w:val="decimal"/>
      <w:lvlText w:val="%5."/>
      <w:lvlJc w:val="left"/>
      <w:pPr>
        <w:ind w:left="3600" w:hanging="360"/>
      </w:pPr>
    </w:lvl>
    <w:lvl w:ilvl="5" w:tplc="6DE9E889">
      <w:start w:val="1"/>
      <w:numFmt w:val="decimal"/>
      <w:lvlText w:val="%6."/>
      <w:lvlJc w:val="left"/>
      <w:pPr>
        <w:ind w:left="4320" w:hanging="360"/>
      </w:pPr>
    </w:lvl>
    <w:lvl w:ilvl="6" w:tplc="34962294">
      <w:start w:val="1"/>
      <w:numFmt w:val="decimal"/>
      <w:lvlText w:val="%7."/>
      <w:lvlJc w:val="left"/>
      <w:pPr>
        <w:ind w:left="5040" w:hanging="360"/>
      </w:pPr>
    </w:lvl>
    <w:lvl w:ilvl="7" w:tplc="7469E40F">
      <w:start w:val="1"/>
      <w:numFmt w:val="decimal"/>
      <w:lvlText w:val="%8."/>
      <w:lvlJc w:val="left"/>
      <w:pPr>
        <w:ind w:left="5760" w:hanging="360"/>
      </w:pPr>
    </w:lvl>
    <w:lvl w:ilvl="8" w:tplc="4765D84E">
      <w:start w:val="1"/>
      <w:numFmt w:val="decimal"/>
      <w:lvlText w:val="%9."/>
      <w:lvlJc w:val="left"/>
      <w:pPr>
        <w:ind w:left="6480" w:hanging="360"/>
      </w:pPr>
    </w:lvl>
  </w:abstractNum>
  <w:abstractNum w:abstractNumId="9" w15:restartNumberingAfterBreak="0">
    <w:nsid w:val="168F12BF"/>
    <w:multiLevelType w:val="hybridMultilevel"/>
    <w:tmpl w:val="8BA81C82"/>
    <w:lvl w:ilvl="0" w:tplc="1DD242E6">
      <w:start w:val="1"/>
      <w:numFmt w:val="bullet"/>
      <w:lvlText w:val=""/>
      <w:lvlJc w:val="left"/>
      <w:pPr>
        <w:tabs>
          <w:tab w:val="left" w:pos="720"/>
        </w:tabs>
        <w:ind w:left="720" w:hanging="360"/>
      </w:pPr>
      <w:rPr>
        <w:rFonts w:ascii="Symbol" w:hAnsi="Symbol"/>
        <w:sz w:val="20"/>
      </w:rPr>
    </w:lvl>
    <w:lvl w:ilvl="1" w:tplc="F5545B7E">
      <w:start w:val="1"/>
      <w:numFmt w:val="bullet"/>
      <w:lvlText w:val=""/>
      <w:lvlJc w:val="left"/>
      <w:pPr>
        <w:tabs>
          <w:tab w:val="left" w:pos="1440"/>
        </w:tabs>
        <w:ind w:left="1440" w:hanging="360"/>
      </w:pPr>
      <w:rPr>
        <w:rFonts w:ascii="Symbol" w:hAnsi="Symbol"/>
        <w:sz w:val="20"/>
      </w:rPr>
    </w:lvl>
    <w:lvl w:ilvl="2" w:tplc="7968FEC6">
      <w:start w:val="1"/>
      <w:numFmt w:val="bullet"/>
      <w:lvlText w:val=""/>
      <w:lvlJc w:val="left"/>
      <w:pPr>
        <w:tabs>
          <w:tab w:val="left" w:pos="2160"/>
        </w:tabs>
        <w:ind w:left="2160" w:hanging="360"/>
      </w:pPr>
      <w:rPr>
        <w:rFonts w:ascii="Symbol" w:hAnsi="Symbol"/>
        <w:sz w:val="20"/>
      </w:rPr>
    </w:lvl>
    <w:lvl w:ilvl="3" w:tplc="B2944A2E">
      <w:start w:val="1"/>
      <w:numFmt w:val="bullet"/>
      <w:lvlText w:val=""/>
      <w:lvlJc w:val="left"/>
      <w:pPr>
        <w:tabs>
          <w:tab w:val="left" w:pos="2880"/>
        </w:tabs>
        <w:ind w:left="2880" w:hanging="360"/>
      </w:pPr>
      <w:rPr>
        <w:rFonts w:ascii="Symbol" w:hAnsi="Symbol"/>
        <w:sz w:val="20"/>
      </w:rPr>
    </w:lvl>
    <w:lvl w:ilvl="4" w:tplc="5948A98E">
      <w:start w:val="1"/>
      <w:numFmt w:val="bullet"/>
      <w:lvlText w:val=""/>
      <w:lvlJc w:val="left"/>
      <w:pPr>
        <w:tabs>
          <w:tab w:val="left" w:pos="3600"/>
        </w:tabs>
        <w:ind w:left="3600" w:hanging="360"/>
      </w:pPr>
      <w:rPr>
        <w:rFonts w:ascii="Symbol" w:hAnsi="Symbol"/>
        <w:sz w:val="20"/>
      </w:rPr>
    </w:lvl>
    <w:lvl w:ilvl="5" w:tplc="193A40F2">
      <w:start w:val="1"/>
      <w:numFmt w:val="bullet"/>
      <w:lvlText w:val=""/>
      <w:lvlJc w:val="left"/>
      <w:pPr>
        <w:tabs>
          <w:tab w:val="left" w:pos="4320"/>
        </w:tabs>
        <w:ind w:left="4320" w:hanging="360"/>
      </w:pPr>
      <w:rPr>
        <w:rFonts w:ascii="Symbol" w:hAnsi="Symbol"/>
        <w:sz w:val="20"/>
      </w:rPr>
    </w:lvl>
    <w:lvl w:ilvl="6" w:tplc="E1B4621C">
      <w:start w:val="1"/>
      <w:numFmt w:val="bullet"/>
      <w:lvlText w:val=""/>
      <w:lvlJc w:val="left"/>
      <w:pPr>
        <w:tabs>
          <w:tab w:val="left" w:pos="5040"/>
        </w:tabs>
        <w:ind w:left="5040" w:hanging="360"/>
      </w:pPr>
      <w:rPr>
        <w:rFonts w:ascii="Symbol" w:hAnsi="Symbol"/>
        <w:sz w:val="20"/>
      </w:rPr>
    </w:lvl>
    <w:lvl w:ilvl="7" w:tplc="64E89DC4">
      <w:start w:val="1"/>
      <w:numFmt w:val="bullet"/>
      <w:lvlText w:val=""/>
      <w:lvlJc w:val="left"/>
      <w:pPr>
        <w:tabs>
          <w:tab w:val="left" w:pos="5760"/>
        </w:tabs>
        <w:ind w:left="5760" w:hanging="360"/>
      </w:pPr>
      <w:rPr>
        <w:rFonts w:ascii="Symbol" w:hAnsi="Symbol"/>
        <w:sz w:val="20"/>
      </w:rPr>
    </w:lvl>
    <w:lvl w:ilvl="8" w:tplc="F5765458">
      <w:start w:val="1"/>
      <w:numFmt w:val="bullet"/>
      <w:lvlText w:val=""/>
      <w:lvlJc w:val="left"/>
      <w:pPr>
        <w:tabs>
          <w:tab w:val="left" w:pos="6480"/>
        </w:tabs>
        <w:ind w:left="6480" w:hanging="360"/>
      </w:pPr>
      <w:rPr>
        <w:rFonts w:ascii="Symbol" w:hAnsi="Symbol"/>
        <w:sz w:val="20"/>
      </w:rPr>
    </w:lvl>
  </w:abstractNum>
  <w:abstractNum w:abstractNumId="10" w15:restartNumberingAfterBreak="0">
    <w:nsid w:val="1AEA0143"/>
    <w:multiLevelType w:val="hybridMultilevel"/>
    <w:tmpl w:val="1DF0FFDE"/>
    <w:lvl w:ilvl="0" w:tplc="250C4A15">
      <w:start w:val="1"/>
      <w:numFmt w:val="decimal"/>
      <w:lvlText w:val="%1."/>
      <w:lvlJc w:val="left"/>
      <w:pPr>
        <w:ind w:left="720" w:hanging="360"/>
      </w:pPr>
    </w:lvl>
    <w:lvl w:ilvl="1" w:tplc="560EAD31">
      <w:start w:val="1"/>
      <w:numFmt w:val="decimal"/>
      <w:lvlText w:val="%2."/>
      <w:lvlJc w:val="left"/>
      <w:pPr>
        <w:ind w:left="1440" w:hanging="360"/>
      </w:pPr>
    </w:lvl>
    <w:lvl w:ilvl="2" w:tplc="165BD929">
      <w:start w:val="1"/>
      <w:numFmt w:val="decimal"/>
      <w:lvlText w:val="%3."/>
      <w:lvlJc w:val="left"/>
      <w:pPr>
        <w:ind w:left="2160" w:hanging="360"/>
      </w:pPr>
    </w:lvl>
    <w:lvl w:ilvl="3" w:tplc="420BD42C">
      <w:start w:val="1"/>
      <w:numFmt w:val="decimal"/>
      <w:lvlText w:val="%4."/>
      <w:lvlJc w:val="left"/>
      <w:pPr>
        <w:ind w:left="2880" w:hanging="360"/>
      </w:pPr>
    </w:lvl>
    <w:lvl w:ilvl="4" w:tplc="08EA6763">
      <w:start w:val="1"/>
      <w:numFmt w:val="decimal"/>
      <w:lvlText w:val="%5."/>
      <w:lvlJc w:val="left"/>
      <w:pPr>
        <w:ind w:left="3600" w:hanging="360"/>
      </w:pPr>
    </w:lvl>
    <w:lvl w:ilvl="5" w:tplc="69149679">
      <w:start w:val="1"/>
      <w:numFmt w:val="decimal"/>
      <w:lvlText w:val="%6."/>
      <w:lvlJc w:val="left"/>
      <w:pPr>
        <w:ind w:left="4320" w:hanging="360"/>
      </w:pPr>
    </w:lvl>
    <w:lvl w:ilvl="6" w:tplc="3D462001">
      <w:start w:val="1"/>
      <w:numFmt w:val="decimal"/>
      <w:lvlText w:val="%7."/>
      <w:lvlJc w:val="left"/>
      <w:pPr>
        <w:ind w:left="5040" w:hanging="360"/>
      </w:pPr>
    </w:lvl>
    <w:lvl w:ilvl="7" w:tplc="3A7ECFF9">
      <w:start w:val="1"/>
      <w:numFmt w:val="decimal"/>
      <w:lvlText w:val="%8."/>
      <w:lvlJc w:val="left"/>
      <w:pPr>
        <w:ind w:left="5760" w:hanging="360"/>
      </w:pPr>
    </w:lvl>
    <w:lvl w:ilvl="8" w:tplc="7AE74934">
      <w:start w:val="1"/>
      <w:numFmt w:val="decimal"/>
      <w:lvlText w:val="%9."/>
      <w:lvlJc w:val="left"/>
      <w:pPr>
        <w:ind w:left="6480" w:hanging="360"/>
      </w:pPr>
    </w:lvl>
  </w:abstractNum>
  <w:abstractNum w:abstractNumId="11" w15:restartNumberingAfterBreak="0">
    <w:nsid w:val="1B41B6C7"/>
    <w:multiLevelType w:val="hybridMultilevel"/>
    <w:tmpl w:val="9CCE1D12"/>
    <w:lvl w:ilvl="0" w:tplc="3B82FDD5">
      <w:start w:val="1"/>
      <w:numFmt w:val="decimal"/>
      <w:lvlText w:val="%1."/>
      <w:lvlJc w:val="left"/>
      <w:pPr>
        <w:ind w:left="720" w:hanging="360"/>
      </w:pPr>
    </w:lvl>
    <w:lvl w:ilvl="1" w:tplc="028E6579">
      <w:start w:val="1"/>
      <w:numFmt w:val="decimal"/>
      <w:lvlText w:val="%2."/>
      <w:lvlJc w:val="left"/>
      <w:pPr>
        <w:ind w:left="1440" w:hanging="360"/>
      </w:pPr>
    </w:lvl>
    <w:lvl w:ilvl="2" w:tplc="14917352">
      <w:start w:val="1"/>
      <w:numFmt w:val="decimal"/>
      <w:lvlText w:val="%3."/>
      <w:lvlJc w:val="left"/>
      <w:pPr>
        <w:ind w:left="2160" w:hanging="360"/>
      </w:pPr>
    </w:lvl>
    <w:lvl w:ilvl="3" w:tplc="55BAEABD">
      <w:start w:val="1"/>
      <w:numFmt w:val="decimal"/>
      <w:lvlText w:val="%4."/>
      <w:lvlJc w:val="left"/>
      <w:pPr>
        <w:ind w:left="2880" w:hanging="360"/>
      </w:pPr>
    </w:lvl>
    <w:lvl w:ilvl="4" w:tplc="30D53CB0">
      <w:start w:val="1"/>
      <w:numFmt w:val="decimal"/>
      <w:lvlText w:val="%5."/>
      <w:lvlJc w:val="left"/>
      <w:pPr>
        <w:ind w:left="3600" w:hanging="360"/>
      </w:pPr>
    </w:lvl>
    <w:lvl w:ilvl="5" w:tplc="5BB7B6A4">
      <w:start w:val="1"/>
      <w:numFmt w:val="decimal"/>
      <w:lvlText w:val="%6."/>
      <w:lvlJc w:val="left"/>
      <w:pPr>
        <w:ind w:left="4320" w:hanging="360"/>
      </w:pPr>
    </w:lvl>
    <w:lvl w:ilvl="6" w:tplc="1F868492">
      <w:start w:val="1"/>
      <w:numFmt w:val="decimal"/>
      <w:lvlText w:val="%7."/>
      <w:lvlJc w:val="left"/>
      <w:pPr>
        <w:ind w:left="5040" w:hanging="360"/>
      </w:pPr>
    </w:lvl>
    <w:lvl w:ilvl="7" w:tplc="242499CF">
      <w:start w:val="1"/>
      <w:numFmt w:val="decimal"/>
      <w:lvlText w:val="%8."/>
      <w:lvlJc w:val="left"/>
      <w:pPr>
        <w:ind w:left="5760" w:hanging="360"/>
      </w:pPr>
    </w:lvl>
    <w:lvl w:ilvl="8" w:tplc="1C675E3F">
      <w:start w:val="1"/>
      <w:numFmt w:val="decimal"/>
      <w:lvlText w:val="%9."/>
      <w:lvlJc w:val="left"/>
      <w:pPr>
        <w:ind w:left="6480" w:hanging="360"/>
      </w:pPr>
    </w:lvl>
  </w:abstractNum>
  <w:abstractNum w:abstractNumId="12" w15:restartNumberingAfterBreak="0">
    <w:nsid w:val="2B7735DB"/>
    <w:multiLevelType w:val="hybridMultilevel"/>
    <w:tmpl w:val="725EF810"/>
    <w:lvl w:ilvl="0" w:tplc="1F208172">
      <w:start w:val="1"/>
      <w:numFmt w:val="bullet"/>
      <w:lvlText w:val=""/>
      <w:lvlJc w:val="left"/>
      <w:pPr>
        <w:tabs>
          <w:tab w:val="left" w:pos="720"/>
        </w:tabs>
        <w:ind w:left="720" w:hanging="360"/>
      </w:pPr>
      <w:rPr>
        <w:rFonts w:ascii="Symbol" w:hAnsi="Symbol"/>
        <w:sz w:val="20"/>
      </w:rPr>
    </w:lvl>
    <w:lvl w:ilvl="1" w:tplc="6E982168">
      <w:start w:val="1"/>
      <w:numFmt w:val="bullet"/>
      <w:lvlText w:val=""/>
      <w:lvlJc w:val="left"/>
      <w:pPr>
        <w:tabs>
          <w:tab w:val="left" w:pos="1440"/>
        </w:tabs>
        <w:ind w:left="1440" w:hanging="360"/>
      </w:pPr>
      <w:rPr>
        <w:rFonts w:ascii="Symbol" w:hAnsi="Symbol"/>
        <w:sz w:val="20"/>
      </w:rPr>
    </w:lvl>
    <w:lvl w:ilvl="2" w:tplc="175EF032">
      <w:start w:val="1"/>
      <w:numFmt w:val="bullet"/>
      <w:lvlText w:val=""/>
      <w:lvlJc w:val="left"/>
      <w:pPr>
        <w:tabs>
          <w:tab w:val="left" w:pos="2160"/>
        </w:tabs>
        <w:ind w:left="2160" w:hanging="360"/>
      </w:pPr>
      <w:rPr>
        <w:rFonts w:ascii="Symbol" w:hAnsi="Symbol"/>
        <w:sz w:val="20"/>
      </w:rPr>
    </w:lvl>
    <w:lvl w:ilvl="3" w:tplc="30D259A6">
      <w:start w:val="1"/>
      <w:numFmt w:val="bullet"/>
      <w:lvlText w:val=""/>
      <w:lvlJc w:val="left"/>
      <w:pPr>
        <w:tabs>
          <w:tab w:val="left" w:pos="2880"/>
        </w:tabs>
        <w:ind w:left="2880" w:hanging="360"/>
      </w:pPr>
      <w:rPr>
        <w:rFonts w:ascii="Symbol" w:hAnsi="Symbol"/>
        <w:sz w:val="20"/>
      </w:rPr>
    </w:lvl>
    <w:lvl w:ilvl="4" w:tplc="885830D4">
      <w:start w:val="1"/>
      <w:numFmt w:val="bullet"/>
      <w:lvlText w:val=""/>
      <w:lvlJc w:val="left"/>
      <w:pPr>
        <w:tabs>
          <w:tab w:val="left" w:pos="3600"/>
        </w:tabs>
        <w:ind w:left="3600" w:hanging="360"/>
      </w:pPr>
      <w:rPr>
        <w:rFonts w:ascii="Symbol" w:hAnsi="Symbol"/>
        <w:sz w:val="20"/>
      </w:rPr>
    </w:lvl>
    <w:lvl w:ilvl="5" w:tplc="B26C7EB8">
      <w:start w:val="1"/>
      <w:numFmt w:val="bullet"/>
      <w:lvlText w:val=""/>
      <w:lvlJc w:val="left"/>
      <w:pPr>
        <w:tabs>
          <w:tab w:val="left" w:pos="4320"/>
        </w:tabs>
        <w:ind w:left="4320" w:hanging="360"/>
      </w:pPr>
      <w:rPr>
        <w:rFonts w:ascii="Symbol" w:hAnsi="Symbol"/>
        <w:sz w:val="20"/>
      </w:rPr>
    </w:lvl>
    <w:lvl w:ilvl="6" w:tplc="F46EBAEA">
      <w:start w:val="1"/>
      <w:numFmt w:val="bullet"/>
      <w:lvlText w:val=""/>
      <w:lvlJc w:val="left"/>
      <w:pPr>
        <w:tabs>
          <w:tab w:val="left" w:pos="5040"/>
        </w:tabs>
        <w:ind w:left="5040" w:hanging="360"/>
      </w:pPr>
      <w:rPr>
        <w:rFonts w:ascii="Symbol" w:hAnsi="Symbol"/>
        <w:sz w:val="20"/>
      </w:rPr>
    </w:lvl>
    <w:lvl w:ilvl="7" w:tplc="15B64D44">
      <w:start w:val="1"/>
      <w:numFmt w:val="bullet"/>
      <w:lvlText w:val=""/>
      <w:lvlJc w:val="left"/>
      <w:pPr>
        <w:tabs>
          <w:tab w:val="left" w:pos="5760"/>
        </w:tabs>
        <w:ind w:left="5760" w:hanging="360"/>
      </w:pPr>
      <w:rPr>
        <w:rFonts w:ascii="Symbol" w:hAnsi="Symbol"/>
        <w:sz w:val="20"/>
      </w:rPr>
    </w:lvl>
    <w:lvl w:ilvl="8" w:tplc="984AC5E0">
      <w:start w:val="1"/>
      <w:numFmt w:val="bullet"/>
      <w:lvlText w:val=""/>
      <w:lvlJc w:val="left"/>
      <w:pPr>
        <w:tabs>
          <w:tab w:val="left" w:pos="6480"/>
        </w:tabs>
        <w:ind w:left="6480" w:hanging="360"/>
      </w:pPr>
      <w:rPr>
        <w:rFonts w:ascii="Symbol" w:hAnsi="Symbol"/>
        <w:sz w:val="20"/>
      </w:rPr>
    </w:lvl>
  </w:abstractNum>
  <w:abstractNum w:abstractNumId="13" w15:restartNumberingAfterBreak="0">
    <w:nsid w:val="31661904"/>
    <w:multiLevelType w:val="hybridMultilevel"/>
    <w:tmpl w:val="DB6A2820"/>
    <w:lvl w:ilvl="0" w:tplc="261AB12B">
      <w:start w:val="1"/>
      <w:numFmt w:val="decimal"/>
      <w:lvlText w:val="%1."/>
      <w:lvlJc w:val="left"/>
      <w:pPr>
        <w:ind w:left="720" w:hanging="360"/>
      </w:pPr>
    </w:lvl>
    <w:lvl w:ilvl="1" w:tplc="454352CD">
      <w:start w:val="1"/>
      <w:numFmt w:val="decimal"/>
      <w:lvlText w:val="%2."/>
      <w:lvlJc w:val="left"/>
      <w:pPr>
        <w:ind w:left="1440" w:hanging="360"/>
      </w:pPr>
    </w:lvl>
    <w:lvl w:ilvl="2" w:tplc="678A3DEB">
      <w:start w:val="1"/>
      <w:numFmt w:val="decimal"/>
      <w:lvlText w:val="%3."/>
      <w:lvlJc w:val="left"/>
      <w:pPr>
        <w:ind w:left="2160" w:hanging="360"/>
      </w:pPr>
    </w:lvl>
    <w:lvl w:ilvl="3" w:tplc="135FA180">
      <w:start w:val="1"/>
      <w:numFmt w:val="decimal"/>
      <w:lvlText w:val="%4."/>
      <w:lvlJc w:val="left"/>
      <w:pPr>
        <w:ind w:left="2880" w:hanging="360"/>
      </w:pPr>
    </w:lvl>
    <w:lvl w:ilvl="4" w:tplc="70F08163">
      <w:start w:val="1"/>
      <w:numFmt w:val="decimal"/>
      <w:lvlText w:val="%5."/>
      <w:lvlJc w:val="left"/>
      <w:pPr>
        <w:ind w:left="3600" w:hanging="360"/>
      </w:pPr>
    </w:lvl>
    <w:lvl w:ilvl="5" w:tplc="718A9E7A">
      <w:start w:val="1"/>
      <w:numFmt w:val="decimal"/>
      <w:lvlText w:val="%6."/>
      <w:lvlJc w:val="left"/>
      <w:pPr>
        <w:ind w:left="4320" w:hanging="360"/>
      </w:pPr>
    </w:lvl>
    <w:lvl w:ilvl="6" w:tplc="1851D2A8">
      <w:start w:val="1"/>
      <w:numFmt w:val="decimal"/>
      <w:lvlText w:val="%7."/>
      <w:lvlJc w:val="left"/>
      <w:pPr>
        <w:ind w:left="5040" w:hanging="360"/>
      </w:pPr>
    </w:lvl>
    <w:lvl w:ilvl="7" w:tplc="0094FE3C">
      <w:start w:val="1"/>
      <w:numFmt w:val="decimal"/>
      <w:lvlText w:val="%8."/>
      <w:lvlJc w:val="left"/>
      <w:pPr>
        <w:ind w:left="5760" w:hanging="360"/>
      </w:pPr>
    </w:lvl>
    <w:lvl w:ilvl="8" w:tplc="2B68A8DC">
      <w:start w:val="1"/>
      <w:numFmt w:val="decimal"/>
      <w:lvlText w:val="%9."/>
      <w:lvlJc w:val="left"/>
      <w:pPr>
        <w:ind w:left="6480" w:hanging="360"/>
      </w:pPr>
    </w:lvl>
  </w:abstractNum>
  <w:abstractNum w:abstractNumId="14" w15:restartNumberingAfterBreak="0">
    <w:nsid w:val="34E7B473"/>
    <w:multiLevelType w:val="hybridMultilevel"/>
    <w:tmpl w:val="08CE270C"/>
    <w:lvl w:ilvl="0" w:tplc="4CB9F2C6">
      <w:start w:val="1"/>
      <w:numFmt w:val="decimal"/>
      <w:lvlText w:val="%1."/>
      <w:lvlJc w:val="left"/>
      <w:pPr>
        <w:ind w:left="720" w:hanging="360"/>
      </w:pPr>
    </w:lvl>
    <w:lvl w:ilvl="1" w:tplc="7BA3BFED">
      <w:start w:val="1"/>
      <w:numFmt w:val="decimal"/>
      <w:lvlText w:val="%2."/>
      <w:lvlJc w:val="left"/>
      <w:pPr>
        <w:ind w:left="1440" w:hanging="360"/>
      </w:pPr>
    </w:lvl>
    <w:lvl w:ilvl="2" w:tplc="04511673">
      <w:start w:val="1"/>
      <w:numFmt w:val="decimal"/>
      <w:lvlText w:val="%3."/>
      <w:lvlJc w:val="left"/>
      <w:pPr>
        <w:ind w:left="2160" w:hanging="360"/>
      </w:pPr>
    </w:lvl>
    <w:lvl w:ilvl="3" w:tplc="70895B8A">
      <w:start w:val="1"/>
      <w:numFmt w:val="decimal"/>
      <w:lvlText w:val="%4."/>
      <w:lvlJc w:val="left"/>
      <w:pPr>
        <w:ind w:left="2880" w:hanging="360"/>
      </w:pPr>
    </w:lvl>
    <w:lvl w:ilvl="4" w:tplc="4536BB94">
      <w:start w:val="1"/>
      <w:numFmt w:val="decimal"/>
      <w:lvlText w:val="%5."/>
      <w:lvlJc w:val="left"/>
      <w:pPr>
        <w:ind w:left="3600" w:hanging="360"/>
      </w:pPr>
    </w:lvl>
    <w:lvl w:ilvl="5" w:tplc="6385A3D3">
      <w:start w:val="1"/>
      <w:numFmt w:val="decimal"/>
      <w:lvlText w:val="%6."/>
      <w:lvlJc w:val="left"/>
      <w:pPr>
        <w:ind w:left="4320" w:hanging="360"/>
      </w:pPr>
    </w:lvl>
    <w:lvl w:ilvl="6" w:tplc="52D46063">
      <w:start w:val="1"/>
      <w:numFmt w:val="decimal"/>
      <w:lvlText w:val="%7."/>
      <w:lvlJc w:val="left"/>
      <w:pPr>
        <w:ind w:left="5040" w:hanging="360"/>
      </w:pPr>
    </w:lvl>
    <w:lvl w:ilvl="7" w:tplc="6FFB0851">
      <w:start w:val="1"/>
      <w:numFmt w:val="decimal"/>
      <w:lvlText w:val="%8."/>
      <w:lvlJc w:val="left"/>
      <w:pPr>
        <w:ind w:left="5760" w:hanging="360"/>
      </w:pPr>
    </w:lvl>
    <w:lvl w:ilvl="8" w:tplc="75B53310">
      <w:start w:val="1"/>
      <w:numFmt w:val="decimal"/>
      <w:lvlText w:val="%9."/>
      <w:lvlJc w:val="left"/>
      <w:pPr>
        <w:ind w:left="6480" w:hanging="360"/>
      </w:pPr>
    </w:lvl>
  </w:abstractNum>
  <w:abstractNum w:abstractNumId="15" w15:restartNumberingAfterBreak="0">
    <w:nsid w:val="37340F05"/>
    <w:multiLevelType w:val="hybridMultilevel"/>
    <w:tmpl w:val="C236318C"/>
    <w:lvl w:ilvl="0" w:tplc="203041DE">
      <w:start w:val="1"/>
      <w:numFmt w:val="bullet"/>
      <w:lvlText w:val=""/>
      <w:lvlJc w:val="left"/>
      <w:pPr>
        <w:tabs>
          <w:tab w:val="left" w:pos="720"/>
        </w:tabs>
        <w:ind w:left="720" w:hanging="360"/>
      </w:pPr>
      <w:rPr>
        <w:rFonts w:ascii="Symbol" w:hAnsi="Symbol"/>
        <w:sz w:val="20"/>
      </w:rPr>
    </w:lvl>
    <w:lvl w:ilvl="1" w:tplc="45089208">
      <w:start w:val="1"/>
      <w:numFmt w:val="bullet"/>
      <w:lvlText w:val=""/>
      <w:lvlJc w:val="left"/>
      <w:pPr>
        <w:tabs>
          <w:tab w:val="left" w:pos="1440"/>
        </w:tabs>
        <w:ind w:left="1440" w:hanging="360"/>
      </w:pPr>
      <w:rPr>
        <w:rFonts w:ascii="Symbol" w:hAnsi="Symbol"/>
        <w:sz w:val="20"/>
      </w:rPr>
    </w:lvl>
    <w:lvl w:ilvl="2" w:tplc="B290E74A">
      <w:start w:val="1"/>
      <w:numFmt w:val="bullet"/>
      <w:lvlText w:val=""/>
      <w:lvlJc w:val="left"/>
      <w:pPr>
        <w:tabs>
          <w:tab w:val="left" w:pos="2160"/>
        </w:tabs>
        <w:ind w:left="2160" w:hanging="360"/>
      </w:pPr>
      <w:rPr>
        <w:rFonts w:ascii="Symbol" w:hAnsi="Symbol"/>
        <w:sz w:val="20"/>
      </w:rPr>
    </w:lvl>
    <w:lvl w:ilvl="3" w:tplc="A5D0CDF2">
      <w:start w:val="1"/>
      <w:numFmt w:val="bullet"/>
      <w:lvlText w:val=""/>
      <w:lvlJc w:val="left"/>
      <w:pPr>
        <w:tabs>
          <w:tab w:val="left" w:pos="2880"/>
        </w:tabs>
        <w:ind w:left="2880" w:hanging="360"/>
      </w:pPr>
      <w:rPr>
        <w:rFonts w:ascii="Symbol" w:hAnsi="Symbol"/>
        <w:sz w:val="20"/>
      </w:rPr>
    </w:lvl>
    <w:lvl w:ilvl="4" w:tplc="39D2A1D4">
      <w:start w:val="1"/>
      <w:numFmt w:val="bullet"/>
      <w:lvlText w:val=""/>
      <w:lvlJc w:val="left"/>
      <w:pPr>
        <w:tabs>
          <w:tab w:val="left" w:pos="3600"/>
        </w:tabs>
        <w:ind w:left="3600" w:hanging="360"/>
      </w:pPr>
      <w:rPr>
        <w:rFonts w:ascii="Symbol" w:hAnsi="Symbol"/>
        <w:sz w:val="20"/>
      </w:rPr>
    </w:lvl>
    <w:lvl w:ilvl="5" w:tplc="CF64C4EE">
      <w:start w:val="1"/>
      <w:numFmt w:val="bullet"/>
      <w:lvlText w:val=""/>
      <w:lvlJc w:val="left"/>
      <w:pPr>
        <w:tabs>
          <w:tab w:val="left" w:pos="4320"/>
        </w:tabs>
        <w:ind w:left="4320" w:hanging="360"/>
      </w:pPr>
      <w:rPr>
        <w:rFonts w:ascii="Symbol" w:hAnsi="Symbol"/>
        <w:sz w:val="20"/>
      </w:rPr>
    </w:lvl>
    <w:lvl w:ilvl="6" w:tplc="9A7C32C8">
      <w:start w:val="1"/>
      <w:numFmt w:val="bullet"/>
      <w:lvlText w:val=""/>
      <w:lvlJc w:val="left"/>
      <w:pPr>
        <w:tabs>
          <w:tab w:val="left" w:pos="5040"/>
        </w:tabs>
        <w:ind w:left="5040" w:hanging="360"/>
      </w:pPr>
      <w:rPr>
        <w:rFonts w:ascii="Symbol" w:hAnsi="Symbol"/>
        <w:sz w:val="20"/>
      </w:rPr>
    </w:lvl>
    <w:lvl w:ilvl="7" w:tplc="AB9A9DCE">
      <w:start w:val="1"/>
      <w:numFmt w:val="bullet"/>
      <w:lvlText w:val=""/>
      <w:lvlJc w:val="left"/>
      <w:pPr>
        <w:tabs>
          <w:tab w:val="left" w:pos="5760"/>
        </w:tabs>
        <w:ind w:left="5760" w:hanging="360"/>
      </w:pPr>
      <w:rPr>
        <w:rFonts w:ascii="Symbol" w:hAnsi="Symbol"/>
        <w:sz w:val="20"/>
      </w:rPr>
    </w:lvl>
    <w:lvl w:ilvl="8" w:tplc="5EE4ADB0">
      <w:start w:val="1"/>
      <w:numFmt w:val="bullet"/>
      <w:lvlText w:val=""/>
      <w:lvlJc w:val="left"/>
      <w:pPr>
        <w:tabs>
          <w:tab w:val="left" w:pos="6480"/>
        </w:tabs>
        <w:ind w:left="6480" w:hanging="360"/>
      </w:pPr>
      <w:rPr>
        <w:rFonts w:ascii="Symbol" w:hAnsi="Symbol"/>
        <w:sz w:val="20"/>
      </w:rPr>
    </w:lvl>
  </w:abstractNum>
  <w:abstractNum w:abstractNumId="16" w15:restartNumberingAfterBreak="0">
    <w:nsid w:val="39C446EC"/>
    <w:multiLevelType w:val="hybridMultilevel"/>
    <w:tmpl w:val="DD92BD3C"/>
    <w:lvl w:ilvl="0" w:tplc="50E24DEC">
      <w:start w:val="1"/>
      <w:numFmt w:val="bullet"/>
      <w:lvlText w:val=""/>
      <w:lvlJc w:val="left"/>
      <w:pPr>
        <w:tabs>
          <w:tab w:val="left" w:pos="720"/>
        </w:tabs>
        <w:ind w:left="720" w:hanging="360"/>
      </w:pPr>
      <w:rPr>
        <w:rFonts w:ascii="Symbol" w:hAnsi="Symbol"/>
        <w:sz w:val="20"/>
      </w:rPr>
    </w:lvl>
    <w:lvl w:ilvl="1" w:tplc="B6DCBD5C">
      <w:start w:val="1"/>
      <w:numFmt w:val="bullet"/>
      <w:lvlText w:val=""/>
      <w:lvlJc w:val="left"/>
      <w:pPr>
        <w:tabs>
          <w:tab w:val="left" w:pos="1440"/>
        </w:tabs>
        <w:ind w:left="1440" w:hanging="360"/>
      </w:pPr>
      <w:rPr>
        <w:rFonts w:ascii="Symbol" w:hAnsi="Symbol"/>
        <w:sz w:val="20"/>
      </w:rPr>
    </w:lvl>
    <w:lvl w:ilvl="2" w:tplc="29BEE5F8">
      <w:start w:val="1"/>
      <w:numFmt w:val="bullet"/>
      <w:lvlText w:val=""/>
      <w:lvlJc w:val="left"/>
      <w:pPr>
        <w:tabs>
          <w:tab w:val="left" w:pos="2160"/>
        </w:tabs>
        <w:ind w:left="2160" w:hanging="360"/>
      </w:pPr>
      <w:rPr>
        <w:rFonts w:ascii="Symbol" w:hAnsi="Symbol"/>
        <w:sz w:val="20"/>
      </w:rPr>
    </w:lvl>
    <w:lvl w:ilvl="3" w:tplc="F59E7A3C">
      <w:start w:val="1"/>
      <w:numFmt w:val="bullet"/>
      <w:lvlText w:val=""/>
      <w:lvlJc w:val="left"/>
      <w:pPr>
        <w:tabs>
          <w:tab w:val="left" w:pos="2880"/>
        </w:tabs>
        <w:ind w:left="2880" w:hanging="360"/>
      </w:pPr>
      <w:rPr>
        <w:rFonts w:ascii="Symbol" w:hAnsi="Symbol"/>
        <w:sz w:val="20"/>
      </w:rPr>
    </w:lvl>
    <w:lvl w:ilvl="4" w:tplc="B02ABD00">
      <w:start w:val="1"/>
      <w:numFmt w:val="bullet"/>
      <w:lvlText w:val=""/>
      <w:lvlJc w:val="left"/>
      <w:pPr>
        <w:tabs>
          <w:tab w:val="left" w:pos="3600"/>
        </w:tabs>
        <w:ind w:left="3600" w:hanging="360"/>
      </w:pPr>
      <w:rPr>
        <w:rFonts w:ascii="Symbol" w:hAnsi="Symbol"/>
        <w:sz w:val="20"/>
      </w:rPr>
    </w:lvl>
    <w:lvl w:ilvl="5" w:tplc="54360C8A">
      <w:start w:val="1"/>
      <w:numFmt w:val="bullet"/>
      <w:lvlText w:val=""/>
      <w:lvlJc w:val="left"/>
      <w:pPr>
        <w:tabs>
          <w:tab w:val="left" w:pos="4320"/>
        </w:tabs>
        <w:ind w:left="4320" w:hanging="360"/>
      </w:pPr>
      <w:rPr>
        <w:rFonts w:ascii="Symbol" w:hAnsi="Symbol"/>
        <w:sz w:val="20"/>
      </w:rPr>
    </w:lvl>
    <w:lvl w:ilvl="6" w:tplc="6FC8D9F0">
      <w:start w:val="1"/>
      <w:numFmt w:val="bullet"/>
      <w:lvlText w:val=""/>
      <w:lvlJc w:val="left"/>
      <w:pPr>
        <w:tabs>
          <w:tab w:val="left" w:pos="5040"/>
        </w:tabs>
        <w:ind w:left="5040" w:hanging="360"/>
      </w:pPr>
      <w:rPr>
        <w:rFonts w:ascii="Symbol" w:hAnsi="Symbol"/>
        <w:sz w:val="20"/>
      </w:rPr>
    </w:lvl>
    <w:lvl w:ilvl="7" w:tplc="4CD4E3F8">
      <w:start w:val="1"/>
      <w:numFmt w:val="bullet"/>
      <w:lvlText w:val=""/>
      <w:lvlJc w:val="left"/>
      <w:pPr>
        <w:tabs>
          <w:tab w:val="left" w:pos="5760"/>
        </w:tabs>
        <w:ind w:left="5760" w:hanging="360"/>
      </w:pPr>
      <w:rPr>
        <w:rFonts w:ascii="Symbol" w:hAnsi="Symbol"/>
        <w:sz w:val="20"/>
      </w:rPr>
    </w:lvl>
    <w:lvl w:ilvl="8" w:tplc="56C429C6">
      <w:start w:val="1"/>
      <w:numFmt w:val="bullet"/>
      <w:lvlText w:val=""/>
      <w:lvlJc w:val="left"/>
      <w:pPr>
        <w:tabs>
          <w:tab w:val="left" w:pos="6480"/>
        </w:tabs>
        <w:ind w:left="6480" w:hanging="360"/>
      </w:pPr>
      <w:rPr>
        <w:rFonts w:ascii="Symbol" w:hAnsi="Symbol"/>
        <w:sz w:val="20"/>
      </w:rPr>
    </w:lvl>
  </w:abstractNum>
  <w:abstractNum w:abstractNumId="17" w15:restartNumberingAfterBreak="0">
    <w:nsid w:val="3ED85568"/>
    <w:multiLevelType w:val="hybridMultilevel"/>
    <w:tmpl w:val="EE96B8E0"/>
    <w:lvl w:ilvl="0" w:tplc="4D9ADC3E">
      <w:start w:val="1"/>
      <w:numFmt w:val="bullet"/>
      <w:lvlText w:val="·"/>
      <w:lvlJc w:val="left"/>
      <w:pPr>
        <w:ind w:left="720" w:hanging="360"/>
      </w:pPr>
      <w:rPr>
        <w:rFonts w:ascii="Symbol" w:hAnsi="Symbol"/>
      </w:rPr>
    </w:lvl>
    <w:lvl w:ilvl="1" w:tplc="0C32B42A">
      <w:start w:val="1"/>
      <w:numFmt w:val="bullet"/>
      <w:lvlText w:val="o"/>
      <w:lvlJc w:val="left"/>
      <w:pPr>
        <w:ind w:left="1440" w:hanging="360"/>
      </w:pPr>
      <w:rPr>
        <w:rFonts w:ascii="Symbol" w:hAnsi="Symbol"/>
      </w:rPr>
    </w:lvl>
    <w:lvl w:ilvl="2" w:tplc="0F7FCB2D">
      <w:start w:val="1"/>
      <w:numFmt w:val="bullet"/>
      <w:lvlText w:val="·"/>
      <w:lvlJc w:val="left"/>
      <w:pPr>
        <w:ind w:left="2160" w:hanging="360"/>
      </w:pPr>
      <w:rPr>
        <w:rFonts w:ascii="Symbol" w:hAnsi="Symbol"/>
      </w:rPr>
    </w:lvl>
    <w:lvl w:ilvl="3" w:tplc="6C36A7A8">
      <w:start w:val="1"/>
      <w:numFmt w:val="bullet"/>
      <w:lvlText w:val="o"/>
      <w:lvlJc w:val="left"/>
      <w:pPr>
        <w:ind w:left="2880" w:hanging="360"/>
      </w:pPr>
      <w:rPr>
        <w:rFonts w:ascii="Symbol" w:hAnsi="Symbol"/>
      </w:rPr>
    </w:lvl>
    <w:lvl w:ilvl="4" w:tplc="137C0C60">
      <w:start w:val="1"/>
      <w:numFmt w:val="bullet"/>
      <w:lvlText w:val="·"/>
      <w:lvlJc w:val="left"/>
      <w:pPr>
        <w:ind w:left="3600" w:hanging="360"/>
      </w:pPr>
      <w:rPr>
        <w:rFonts w:ascii="Symbol" w:hAnsi="Symbol"/>
      </w:rPr>
    </w:lvl>
    <w:lvl w:ilvl="5" w:tplc="739E59C0">
      <w:start w:val="1"/>
      <w:numFmt w:val="bullet"/>
      <w:lvlText w:val="o"/>
      <w:lvlJc w:val="left"/>
      <w:pPr>
        <w:ind w:left="4320" w:hanging="360"/>
      </w:pPr>
      <w:rPr>
        <w:rFonts w:ascii="Symbol" w:hAnsi="Symbol"/>
      </w:rPr>
    </w:lvl>
    <w:lvl w:ilvl="6" w:tplc="7996A256">
      <w:start w:val="1"/>
      <w:numFmt w:val="bullet"/>
      <w:lvlText w:val="·"/>
      <w:lvlJc w:val="left"/>
      <w:pPr>
        <w:ind w:left="5040" w:hanging="360"/>
      </w:pPr>
      <w:rPr>
        <w:rFonts w:ascii="Symbol" w:hAnsi="Symbol"/>
      </w:rPr>
    </w:lvl>
    <w:lvl w:ilvl="7" w:tplc="75F7D78A">
      <w:start w:val="1"/>
      <w:numFmt w:val="bullet"/>
      <w:lvlText w:val="o"/>
      <w:lvlJc w:val="left"/>
      <w:pPr>
        <w:ind w:left="5760" w:hanging="360"/>
      </w:pPr>
      <w:rPr>
        <w:rFonts w:ascii="Symbol" w:hAnsi="Symbol"/>
      </w:rPr>
    </w:lvl>
    <w:lvl w:ilvl="8" w:tplc="10ACD434">
      <w:start w:val="1"/>
      <w:numFmt w:val="bullet"/>
      <w:lvlText w:val="·"/>
      <w:lvlJc w:val="left"/>
      <w:pPr>
        <w:ind w:left="6480" w:hanging="360"/>
      </w:pPr>
      <w:rPr>
        <w:rFonts w:ascii="Symbol" w:hAnsi="Symbol"/>
      </w:rPr>
    </w:lvl>
  </w:abstractNum>
  <w:abstractNum w:abstractNumId="18" w15:restartNumberingAfterBreak="0">
    <w:nsid w:val="3F3BD1BC"/>
    <w:multiLevelType w:val="hybridMultilevel"/>
    <w:tmpl w:val="0FAE075A"/>
    <w:lvl w:ilvl="0" w:tplc="6BC1832E">
      <w:start w:val="1"/>
      <w:numFmt w:val="decimal"/>
      <w:lvlText w:val="%1."/>
      <w:lvlJc w:val="left"/>
      <w:pPr>
        <w:ind w:left="720" w:hanging="360"/>
      </w:pPr>
    </w:lvl>
    <w:lvl w:ilvl="1" w:tplc="2E8AE9C3">
      <w:start w:val="1"/>
      <w:numFmt w:val="decimal"/>
      <w:lvlText w:val="%2."/>
      <w:lvlJc w:val="left"/>
      <w:pPr>
        <w:ind w:left="1440" w:hanging="360"/>
      </w:pPr>
    </w:lvl>
    <w:lvl w:ilvl="2" w:tplc="59F391F0">
      <w:start w:val="1"/>
      <w:numFmt w:val="decimal"/>
      <w:lvlText w:val="%3."/>
      <w:lvlJc w:val="left"/>
      <w:pPr>
        <w:ind w:left="2160" w:hanging="360"/>
      </w:pPr>
    </w:lvl>
    <w:lvl w:ilvl="3" w:tplc="12072F17">
      <w:start w:val="1"/>
      <w:numFmt w:val="decimal"/>
      <w:lvlText w:val="%4."/>
      <w:lvlJc w:val="left"/>
      <w:pPr>
        <w:ind w:left="2880" w:hanging="360"/>
      </w:pPr>
    </w:lvl>
    <w:lvl w:ilvl="4" w:tplc="5FDAD76C">
      <w:start w:val="1"/>
      <w:numFmt w:val="decimal"/>
      <w:lvlText w:val="%5."/>
      <w:lvlJc w:val="left"/>
      <w:pPr>
        <w:ind w:left="3600" w:hanging="360"/>
      </w:pPr>
    </w:lvl>
    <w:lvl w:ilvl="5" w:tplc="539D2637">
      <w:start w:val="1"/>
      <w:numFmt w:val="decimal"/>
      <w:lvlText w:val="%6."/>
      <w:lvlJc w:val="left"/>
      <w:pPr>
        <w:ind w:left="4320" w:hanging="360"/>
      </w:pPr>
    </w:lvl>
    <w:lvl w:ilvl="6" w:tplc="5090B9B9">
      <w:start w:val="1"/>
      <w:numFmt w:val="decimal"/>
      <w:lvlText w:val="%7."/>
      <w:lvlJc w:val="left"/>
      <w:pPr>
        <w:ind w:left="5040" w:hanging="360"/>
      </w:pPr>
    </w:lvl>
    <w:lvl w:ilvl="7" w:tplc="5942CD16">
      <w:start w:val="1"/>
      <w:numFmt w:val="decimal"/>
      <w:lvlText w:val="%8."/>
      <w:lvlJc w:val="left"/>
      <w:pPr>
        <w:ind w:left="5760" w:hanging="360"/>
      </w:pPr>
    </w:lvl>
    <w:lvl w:ilvl="8" w:tplc="66362825">
      <w:start w:val="1"/>
      <w:numFmt w:val="decimal"/>
      <w:lvlText w:val="%9."/>
      <w:lvlJc w:val="left"/>
      <w:pPr>
        <w:ind w:left="6480" w:hanging="360"/>
      </w:pPr>
    </w:lvl>
  </w:abstractNum>
  <w:abstractNum w:abstractNumId="19" w15:restartNumberingAfterBreak="0">
    <w:nsid w:val="42129E82"/>
    <w:multiLevelType w:val="hybridMultilevel"/>
    <w:tmpl w:val="D730E4DC"/>
    <w:lvl w:ilvl="0" w:tplc="5D2BAFCF">
      <w:start w:val="1"/>
      <w:numFmt w:val="decimal"/>
      <w:lvlText w:val="%1."/>
      <w:lvlJc w:val="left"/>
      <w:pPr>
        <w:ind w:left="720" w:hanging="360"/>
      </w:pPr>
    </w:lvl>
    <w:lvl w:ilvl="1" w:tplc="2CB61A5D">
      <w:start w:val="1"/>
      <w:numFmt w:val="decimal"/>
      <w:lvlText w:val="%2."/>
      <w:lvlJc w:val="left"/>
      <w:pPr>
        <w:ind w:left="1440" w:hanging="360"/>
      </w:pPr>
    </w:lvl>
    <w:lvl w:ilvl="2" w:tplc="4E8D1EF8">
      <w:start w:val="1"/>
      <w:numFmt w:val="decimal"/>
      <w:lvlText w:val="%3."/>
      <w:lvlJc w:val="left"/>
      <w:pPr>
        <w:ind w:left="2160" w:hanging="360"/>
      </w:pPr>
    </w:lvl>
    <w:lvl w:ilvl="3" w:tplc="7136F10B">
      <w:start w:val="1"/>
      <w:numFmt w:val="decimal"/>
      <w:lvlText w:val="%4."/>
      <w:lvlJc w:val="left"/>
      <w:pPr>
        <w:ind w:left="2880" w:hanging="360"/>
      </w:pPr>
    </w:lvl>
    <w:lvl w:ilvl="4" w:tplc="05C1AF9D">
      <w:start w:val="1"/>
      <w:numFmt w:val="decimal"/>
      <w:lvlText w:val="%5."/>
      <w:lvlJc w:val="left"/>
      <w:pPr>
        <w:ind w:left="3600" w:hanging="360"/>
      </w:pPr>
    </w:lvl>
    <w:lvl w:ilvl="5" w:tplc="381F8DDC">
      <w:start w:val="1"/>
      <w:numFmt w:val="decimal"/>
      <w:lvlText w:val="%6."/>
      <w:lvlJc w:val="left"/>
      <w:pPr>
        <w:ind w:left="4320" w:hanging="360"/>
      </w:pPr>
    </w:lvl>
    <w:lvl w:ilvl="6" w:tplc="33E5B91B">
      <w:start w:val="1"/>
      <w:numFmt w:val="decimal"/>
      <w:lvlText w:val="%7."/>
      <w:lvlJc w:val="left"/>
      <w:pPr>
        <w:ind w:left="5040" w:hanging="360"/>
      </w:pPr>
    </w:lvl>
    <w:lvl w:ilvl="7" w:tplc="5AC0AADE">
      <w:start w:val="1"/>
      <w:numFmt w:val="decimal"/>
      <w:lvlText w:val="%8."/>
      <w:lvlJc w:val="left"/>
      <w:pPr>
        <w:ind w:left="5760" w:hanging="360"/>
      </w:pPr>
    </w:lvl>
    <w:lvl w:ilvl="8" w:tplc="165BE7BA">
      <w:start w:val="1"/>
      <w:numFmt w:val="decimal"/>
      <w:lvlText w:val="%9."/>
      <w:lvlJc w:val="left"/>
      <w:pPr>
        <w:ind w:left="6480" w:hanging="360"/>
      </w:pPr>
    </w:lvl>
  </w:abstractNum>
  <w:abstractNum w:abstractNumId="20" w15:restartNumberingAfterBreak="0">
    <w:nsid w:val="44576A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325643"/>
    <w:multiLevelType w:val="hybridMultilevel"/>
    <w:tmpl w:val="304C2984"/>
    <w:lvl w:ilvl="0" w:tplc="3ABC737B">
      <w:start w:val="1"/>
      <w:numFmt w:val="decimal"/>
      <w:lvlText w:val="%1."/>
      <w:lvlJc w:val="left"/>
      <w:pPr>
        <w:ind w:left="720" w:hanging="360"/>
      </w:pPr>
    </w:lvl>
    <w:lvl w:ilvl="1" w:tplc="747EC4CE">
      <w:start w:val="1"/>
      <w:numFmt w:val="decimal"/>
      <w:lvlText w:val="%2."/>
      <w:lvlJc w:val="left"/>
      <w:pPr>
        <w:ind w:left="1440" w:hanging="360"/>
      </w:pPr>
    </w:lvl>
    <w:lvl w:ilvl="2" w:tplc="09A8B885">
      <w:start w:val="1"/>
      <w:numFmt w:val="decimal"/>
      <w:lvlText w:val="%3."/>
      <w:lvlJc w:val="left"/>
      <w:pPr>
        <w:ind w:left="2160" w:hanging="360"/>
      </w:pPr>
    </w:lvl>
    <w:lvl w:ilvl="3" w:tplc="2FBA389B">
      <w:start w:val="1"/>
      <w:numFmt w:val="decimal"/>
      <w:lvlText w:val="%4."/>
      <w:lvlJc w:val="left"/>
      <w:pPr>
        <w:ind w:left="2880" w:hanging="360"/>
      </w:pPr>
    </w:lvl>
    <w:lvl w:ilvl="4" w:tplc="0B5884D0">
      <w:start w:val="1"/>
      <w:numFmt w:val="decimal"/>
      <w:lvlText w:val="%5."/>
      <w:lvlJc w:val="left"/>
      <w:pPr>
        <w:ind w:left="3600" w:hanging="360"/>
      </w:pPr>
    </w:lvl>
    <w:lvl w:ilvl="5" w:tplc="37F9F215">
      <w:start w:val="1"/>
      <w:numFmt w:val="decimal"/>
      <w:lvlText w:val="%6."/>
      <w:lvlJc w:val="left"/>
      <w:pPr>
        <w:ind w:left="4320" w:hanging="360"/>
      </w:pPr>
    </w:lvl>
    <w:lvl w:ilvl="6" w:tplc="349AD034">
      <w:start w:val="1"/>
      <w:numFmt w:val="decimal"/>
      <w:lvlText w:val="%7."/>
      <w:lvlJc w:val="left"/>
      <w:pPr>
        <w:ind w:left="5040" w:hanging="360"/>
      </w:pPr>
    </w:lvl>
    <w:lvl w:ilvl="7" w:tplc="4B07C882">
      <w:start w:val="1"/>
      <w:numFmt w:val="decimal"/>
      <w:lvlText w:val="%8."/>
      <w:lvlJc w:val="left"/>
      <w:pPr>
        <w:ind w:left="5760" w:hanging="360"/>
      </w:pPr>
    </w:lvl>
    <w:lvl w:ilvl="8" w:tplc="031BCD77">
      <w:start w:val="1"/>
      <w:numFmt w:val="decimal"/>
      <w:lvlText w:val="%9."/>
      <w:lvlJc w:val="left"/>
      <w:pPr>
        <w:ind w:left="6480" w:hanging="360"/>
      </w:pPr>
    </w:lvl>
  </w:abstractNum>
  <w:abstractNum w:abstractNumId="22" w15:restartNumberingAfterBreak="0">
    <w:nsid w:val="4C383439"/>
    <w:multiLevelType w:val="hybridMultilevel"/>
    <w:tmpl w:val="6636980A"/>
    <w:lvl w:ilvl="0" w:tplc="3BA46E6A">
      <w:start w:val="1"/>
      <w:numFmt w:val="bullet"/>
      <w:lvlText w:val=""/>
      <w:lvlJc w:val="left"/>
      <w:pPr>
        <w:tabs>
          <w:tab w:val="left" w:pos="720"/>
        </w:tabs>
        <w:ind w:left="720" w:hanging="360"/>
      </w:pPr>
      <w:rPr>
        <w:rFonts w:ascii="Symbol" w:hAnsi="Symbol"/>
        <w:sz w:val="20"/>
      </w:rPr>
    </w:lvl>
    <w:lvl w:ilvl="1" w:tplc="40C2DC1C">
      <w:start w:val="1"/>
      <w:numFmt w:val="bullet"/>
      <w:lvlText w:val="o"/>
      <w:lvlJc w:val="left"/>
      <w:pPr>
        <w:tabs>
          <w:tab w:val="left" w:pos="1440"/>
        </w:tabs>
        <w:ind w:left="1440" w:hanging="360"/>
      </w:pPr>
      <w:rPr>
        <w:rFonts w:ascii="Courier New" w:hAnsi="Courier New"/>
        <w:sz w:val="20"/>
      </w:rPr>
    </w:lvl>
    <w:lvl w:ilvl="2" w:tplc="AFEEBD22">
      <w:start w:val="1"/>
      <w:numFmt w:val="bullet"/>
      <w:lvlText w:val=""/>
      <w:lvlJc w:val="left"/>
      <w:pPr>
        <w:tabs>
          <w:tab w:val="left" w:pos="2160"/>
        </w:tabs>
        <w:ind w:left="2160" w:hanging="360"/>
      </w:pPr>
      <w:rPr>
        <w:rFonts w:ascii="Wingdings" w:hAnsi="Wingdings"/>
        <w:sz w:val="20"/>
      </w:rPr>
    </w:lvl>
    <w:lvl w:ilvl="3" w:tplc="40C65CC2">
      <w:start w:val="1"/>
      <w:numFmt w:val="bullet"/>
      <w:lvlText w:val=""/>
      <w:lvlJc w:val="left"/>
      <w:pPr>
        <w:tabs>
          <w:tab w:val="left" w:pos="2880"/>
        </w:tabs>
        <w:ind w:left="2880" w:hanging="360"/>
      </w:pPr>
      <w:rPr>
        <w:rFonts w:ascii="Wingdings" w:hAnsi="Wingdings"/>
        <w:sz w:val="20"/>
      </w:rPr>
    </w:lvl>
    <w:lvl w:ilvl="4" w:tplc="FD80E08C">
      <w:start w:val="1"/>
      <w:numFmt w:val="bullet"/>
      <w:lvlText w:val=""/>
      <w:lvlJc w:val="left"/>
      <w:pPr>
        <w:tabs>
          <w:tab w:val="left" w:pos="3600"/>
        </w:tabs>
        <w:ind w:left="3600" w:hanging="360"/>
      </w:pPr>
      <w:rPr>
        <w:rFonts w:ascii="Wingdings" w:hAnsi="Wingdings"/>
        <w:sz w:val="20"/>
      </w:rPr>
    </w:lvl>
    <w:lvl w:ilvl="5" w:tplc="16981706">
      <w:start w:val="1"/>
      <w:numFmt w:val="bullet"/>
      <w:lvlText w:val=""/>
      <w:lvlJc w:val="left"/>
      <w:pPr>
        <w:tabs>
          <w:tab w:val="left" w:pos="4320"/>
        </w:tabs>
        <w:ind w:left="4320" w:hanging="360"/>
      </w:pPr>
      <w:rPr>
        <w:rFonts w:ascii="Wingdings" w:hAnsi="Wingdings"/>
        <w:sz w:val="20"/>
      </w:rPr>
    </w:lvl>
    <w:lvl w:ilvl="6" w:tplc="915E2ADA">
      <w:start w:val="1"/>
      <w:numFmt w:val="bullet"/>
      <w:lvlText w:val=""/>
      <w:lvlJc w:val="left"/>
      <w:pPr>
        <w:tabs>
          <w:tab w:val="left" w:pos="5040"/>
        </w:tabs>
        <w:ind w:left="5040" w:hanging="360"/>
      </w:pPr>
      <w:rPr>
        <w:rFonts w:ascii="Wingdings" w:hAnsi="Wingdings"/>
        <w:sz w:val="20"/>
      </w:rPr>
    </w:lvl>
    <w:lvl w:ilvl="7" w:tplc="71D21B72">
      <w:start w:val="1"/>
      <w:numFmt w:val="bullet"/>
      <w:lvlText w:val=""/>
      <w:lvlJc w:val="left"/>
      <w:pPr>
        <w:tabs>
          <w:tab w:val="left" w:pos="5760"/>
        </w:tabs>
        <w:ind w:left="5760" w:hanging="360"/>
      </w:pPr>
      <w:rPr>
        <w:rFonts w:ascii="Wingdings" w:hAnsi="Wingdings"/>
        <w:sz w:val="20"/>
      </w:rPr>
    </w:lvl>
    <w:lvl w:ilvl="8" w:tplc="5B949C0C">
      <w:start w:val="1"/>
      <w:numFmt w:val="bullet"/>
      <w:lvlText w:val=""/>
      <w:lvlJc w:val="left"/>
      <w:pPr>
        <w:tabs>
          <w:tab w:val="left" w:pos="6480"/>
        </w:tabs>
        <w:ind w:left="6480" w:hanging="360"/>
      </w:pPr>
      <w:rPr>
        <w:rFonts w:ascii="Wingdings" w:hAnsi="Wingdings"/>
        <w:sz w:val="20"/>
      </w:rPr>
    </w:lvl>
  </w:abstractNum>
  <w:abstractNum w:abstractNumId="23" w15:restartNumberingAfterBreak="0">
    <w:nsid w:val="4CCBDBCD"/>
    <w:multiLevelType w:val="hybridMultilevel"/>
    <w:tmpl w:val="E5E089D8"/>
    <w:lvl w:ilvl="0" w:tplc="728B245D">
      <w:start w:val="1"/>
      <w:numFmt w:val="decimal"/>
      <w:lvlText w:val="%1."/>
      <w:lvlJc w:val="left"/>
      <w:pPr>
        <w:ind w:left="720" w:hanging="360"/>
      </w:pPr>
    </w:lvl>
    <w:lvl w:ilvl="1" w:tplc="398683DE">
      <w:start w:val="1"/>
      <w:numFmt w:val="decimal"/>
      <w:lvlText w:val="%2."/>
      <w:lvlJc w:val="left"/>
      <w:pPr>
        <w:ind w:left="1440" w:hanging="360"/>
      </w:pPr>
    </w:lvl>
    <w:lvl w:ilvl="2" w:tplc="25E6D94E">
      <w:start w:val="1"/>
      <w:numFmt w:val="decimal"/>
      <w:lvlText w:val="%3."/>
      <w:lvlJc w:val="left"/>
      <w:pPr>
        <w:ind w:left="2160" w:hanging="360"/>
      </w:pPr>
    </w:lvl>
    <w:lvl w:ilvl="3" w:tplc="5E05E548">
      <w:start w:val="1"/>
      <w:numFmt w:val="decimal"/>
      <w:lvlText w:val="%4."/>
      <w:lvlJc w:val="left"/>
      <w:pPr>
        <w:ind w:left="2880" w:hanging="360"/>
      </w:pPr>
    </w:lvl>
    <w:lvl w:ilvl="4" w:tplc="305C0DB8">
      <w:start w:val="1"/>
      <w:numFmt w:val="decimal"/>
      <w:lvlText w:val="%5."/>
      <w:lvlJc w:val="left"/>
      <w:pPr>
        <w:ind w:left="3600" w:hanging="360"/>
      </w:pPr>
    </w:lvl>
    <w:lvl w:ilvl="5" w:tplc="1D596845">
      <w:start w:val="1"/>
      <w:numFmt w:val="decimal"/>
      <w:lvlText w:val="%6."/>
      <w:lvlJc w:val="left"/>
      <w:pPr>
        <w:ind w:left="4320" w:hanging="360"/>
      </w:pPr>
    </w:lvl>
    <w:lvl w:ilvl="6" w:tplc="681D05AF">
      <w:start w:val="1"/>
      <w:numFmt w:val="decimal"/>
      <w:lvlText w:val="%7."/>
      <w:lvlJc w:val="left"/>
      <w:pPr>
        <w:ind w:left="5040" w:hanging="360"/>
      </w:pPr>
    </w:lvl>
    <w:lvl w:ilvl="7" w:tplc="2F6B5E23">
      <w:start w:val="1"/>
      <w:numFmt w:val="decimal"/>
      <w:lvlText w:val="%8."/>
      <w:lvlJc w:val="left"/>
      <w:pPr>
        <w:ind w:left="5760" w:hanging="360"/>
      </w:pPr>
    </w:lvl>
    <w:lvl w:ilvl="8" w:tplc="4D685FF4">
      <w:start w:val="1"/>
      <w:numFmt w:val="decimal"/>
      <w:lvlText w:val="%9."/>
      <w:lvlJc w:val="left"/>
      <w:pPr>
        <w:ind w:left="6480" w:hanging="360"/>
      </w:pPr>
    </w:lvl>
  </w:abstractNum>
  <w:abstractNum w:abstractNumId="24" w15:restartNumberingAfterBreak="0">
    <w:nsid w:val="4CEF5727"/>
    <w:multiLevelType w:val="hybridMultilevel"/>
    <w:tmpl w:val="921248FE"/>
    <w:lvl w:ilvl="0" w:tplc="74F485E1">
      <w:start w:val="1"/>
      <w:numFmt w:val="decimal"/>
      <w:lvlText w:val="%1."/>
      <w:lvlJc w:val="left"/>
      <w:pPr>
        <w:ind w:left="720" w:hanging="360"/>
      </w:pPr>
    </w:lvl>
    <w:lvl w:ilvl="1" w:tplc="6C23CD23">
      <w:start w:val="1"/>
      <w:numFmt w:val="decimal"/>
      <w:lvlText w:val="%2."/>
      <w:lvlJc w:val="left"/>
      <w:pPr>
        <w:ind w:left="1440" w:hanging="360"/>
      </w:pPr>
    </w:lvl>
    <w:lvl w:ilvl="2" w:tplc="5E493331">
      <w:start w:val="1"/>
      <w:numFmt w:val="decimal"/>
      <w:lvlText w:val="%3."/>
      <w:lvlJc w:val="left"/>
      <w:pPr>
        <w:ind w:left="2160" w:hanging="360"/>
      </w:pPr>
    </w:lvl>
    <w:lvl w:ilvl="3" w:tplc="25293B60">
      <w:start w:val="1"/>
      <w:numFmt w:val="decimal"/>
      <w:lvlText w:val="%4."/>
      <w:lvlJc w:val="left"/>
      <w:pPr>
        <w:ind w:left="2880" w:hanging="360"/>
      </w:pPr>
    </w:lvl>
    <w:lvl w:ilvl="4" w:tplc="2D6A93FE">
      <w:start w:val="1"/>
      <w:numFmt w:val="decimal"/>
      <w:lvlText w:val="%5."/>
      <w:lvlJc w:val="left"/>
      <w:pPr>
        <w:ind w:left="3600" w:hanging="360"/>
      </w:pPr>
    </w:lvl>
    <w:lvl w:ilvl="5" w:tplc="41DF493E">
      <w:start w:val="1"/>
      <w:numFmt w:val="decimal"/>
      <w:lvlText w:val="%6."/>
      <w:lvlJc w:val="left"/>
      <w:pPr>
        <w:ind w:left="4320" w:hanging="360"/>
      </w:pPr>
    </w:lvl>
    <w:lvl w:ilvl="6" w:tplc="44F4B642">
      <w:start w:val="1"/>
      <w:numFmt w:val="decimal"/>
      <w:lvlText w:val="%7."/>
      <w:lvlJc w:val="left"/>
      <w:pPr>
        <w:ind w:left="5040" w:hanging="360"/>
      </w:pPr>
    </w:lvl>
    <w:lvl w:ilvl="7" w:tplc="1CED41C7">
      <w:start w:val="1"/>
      <w:numFmt w:val="decimal"/>
      <w:lvlText w:val="%8."/>
      <w:lvlJc w:val="left"/>
      <w:pPr>
        <w:ind w:left="5760" w:hanging="360"/>
      </w:pPr>
    </w:lvl>
    <w:lvl w:ilvl="8" w:tplc="7A330B12">
      <w:start w:val="1"/>
      <w:numFmt w:val="decimal"/>
      <w:lvlText w:val="%9."/>
      <w:lvlJc w:val="left"/>
      <w:pPr>
        <w:ind w:left="6480" w:hanging="360"/>
      </w:pPr>
    </w:lvl>
  </w:abstractNum>
  <w:abstractNum w:abstractNumId="25" w15:restartNumberingAfterBreak="0">
    <w:nsid w:val="4DA33826"/>
    <w:multiLevelType w:val="hybridMultilevel"/>
    <w:tmpl w:val="0C8A63C8"/>
    <w:lvl w:ilvl="0" w:tplc="54DB7AB4">
      <w:start w:val="1"/>
      <w:numFmt w:val="bullet"/>
      <w:lvlText w:val="·"/>
      <w:lvlJc w:val="left"/>
      <w:pPr>
        <w:ind w:left="720" w:hanging="360"/>
      </w:pPr>
      <w:rPr>
        <w:rFonts w:ascii="Symbol" w:hAnsi="Symbol"/>
      </w:rPr>
    </w:lvl>
    <w:lvl w:ilvl="1" w:tplc="1E5A609E">
      <w:start w:val="1"/>
      <w:numFmt w:val="bullet"/>
      <w:lvlText w:val="o"/>
      <w:lvlJc w:val="left"/>
      <w:pPr>
        <w:ind w:left="1440" w:hanging="360"/>
      </w:pPr>
      <w:rPr>
        <w:rFonts w:ascii="Symbol" w:hAnsi="Symbol"/>
      </w:rPr>
    </w:lvl>
    <w:lvl w:ilvl="2" w:tplc="0C0D0E31">
      <w:start w:val="1"/>
      <w:numFmt w:val="bullet"/>
      <w:lvlText w:val="·"/>
      <w:lvlJc w:val="left"/>
      <w:pPr>
        <w:ind w:left="2160" w:hanging="360"/>
      </w:pPr>
      <w:rPr>
        <w:rFonts w:ascii="Symbol" w:hAnsi="Symbol"/>
      </w:rPr>
    </w:lvl>
    <w:lvl w:ilvl="3" w:tplc="316B6B0F">
      <w:start w:val="1"/>
      <w:numFmt w:val="bullet"/>
      <w:lvlText w:val="o"/>
      <w:lvlJc w:val="left"/>
      <w:pPr>
        <w:ind w:left="2880" w:hanging="360"/>
      </w:pPr>
      <w:rPr>
        <w:rFonts w:ascii="Symbol" w:hAnsi="Symbol"/>
      </w:rPr>
    </w:lvl>
    <w:lvl w:ilvl="4" w:tplc="41901EB9">
      <w:start w:val="1"/>
      <w:numFmt w:val="bullet"/>
      <w:lvlText w:val="·"/>
      <w:lvlJc w:val="left"/>
      <w:pPr>
        <w:ind w:left="3600" w:hanging="360"/>
      </w:pPr>
      <w:rPr>
        <w:rFonts w:ascii="Symbol" w:hAnsi="Symbol"/>
      </w:rPr>
    </w:lvl>
    <w:lvl w:ilvl="5" w:tplc="71500B4D">
      <w:start w:val="1"/>
      <w:numFmt w:val="bullet"/>
      <w:lvlText w:val="o"/>
      <w:lvlJc w:val="left"/>
      <w:pPr>
        <w:ind w:left="4320" w:hanging="360"/>
      </w:pPr>
      <w:rPr>
        <w:rFonts w:ascii="Symbol" w:hAnsi="Symbol"/>
      </w:rPr>
    </w:lvl>
    <w:lvl w:ilvl="6" w:tplc="61E1BE33">
      <w:start w:val="1"/>
      <w:numFmt w:val="bullet"/>
      <w:lvlText w:val="·"/>
      <w:lvlJc w:val="left"/>
      <w:pPr>
        <w:ind w:left="5040" w:hanging="360"/>
      </w:pPr>
      <w:rPr>
        <w:rFonts w:ascii="Symbol" w:hAnsi="Symbol"/>
      </w:rPr>
    </w:lvl>
    <w:lvl w:ilvl="7" w:tplc="7F1C95D9">
      <w:start w:val="1"/>
      <w:numFmt w:val="bullet"/>
      <w:lvlText w:val="o"/>
      <w:lvlJc w:val="left"/>
      <w:pPr>
        <w:ind w:left="5760" w:hanging="360"/>
      </w:pPr>
      <w:rPr>
        <w:rFonts w:ascii="Symbol" w:hAnsi="Symbol"/>
      </w:rPr>
    </w:lvl>
    <w:lvl w:ilvl="8" w:tplc="2B968FE3">
      <w:start w:val="1"/>
      <w:numFmt w:val="bullet"/>
      <w:lvlText w:val="·"/>
      <w:lvlJc w:val="left"/>
      <w:pPr>
        <w:ind w:left="6480" w:hanging="360"/>
      </w:pPr>
      <w:rPr>
        <w:rFonts w:ascii="Symbol" w:hAnsi="Symbol"/>
      </w:rPr>
    </w:lvl>
  </w:abstractNum>
  <w:abstractNum w:abstractNumId="26" w15:restartNumberingAfterBreak="0">
    <w:nsid w:val="50F6D620"/>
    <w:multiLevelType w:val="hybridMultilevel"/>
    <w:tmpl w:val="A190AA72"/>
    <w:lvl w:ilvl="0" w:tplc="0596AEC5">
      <w:start w:val="1"/>
      <w:numFmt w:val="decimal"/>
      <w:lvlText w:val="%1."/>
      <w:lvlJc w:val="left"/>
      <w:pPr>
        <w:ind w:left="720" w:hanging="360"/>
      </w:pPr>
    </w:lvl>
    <w:lvl w:ilvl="1" w:tplc="4419298C">
      <w:start w:val="1"/>
      <w:numFmt w:val="decimal"/>
      <w:lvlText w:val="%2."/>
      <w:lvlJc w:val="left"/>
      <w:pPr>
        <w:ind w:left="1440" w:hanging="360"/>
      </w:pPr>
    </w:lvl>
    <w:lvl w:ilvl="2" w:tplc="4258E3E6">
      <w:start w:val="1"/>
      <w:numFmt w:val="decimal"/>
      <w:lvlText w:val="%3."/>
      <w:lvlJc w:val="left"/>
      <w:pPr>
        <w:ind w:left="2160" w:hanging="360"/>
      </w:pPr>
    </w:lvl>
    <w:lvl w:ilvl="3" w:tplc="1C6021E3">
      <w:start w:val="1"/>
      <w:numFmt w:val="decimal"/>
      <w:lvlText w:val="%4."/>
      <w:lvlJc w:val="left"/>
      <w:pPr>
        <w:ind w:left="2880" w:hanging="360"/>
      </w:pPr>
    </w:lvl>
    <w:lvl w:ilvl="4" w:tplc="0BD75877">
      <w:start w:val="1"/>
      <w:numFmt w:val="decimal"/>
      <w:lvlText w:val="%5."/>
      <w:lvlJc w:val="left"/>
      <w:pPr>
        <w:ind w:left="3600" w:hanging="360"/>
      </w:pPr>
    </w:lvl>
    <w:lvl w:ilvl="5" w:tplc="78D271D8">
      <w:start w:val="1"/>
      <w:numFmt w:val="decimal"/>
      <w:lvlText w:val="%6."/>
      <w:lvlJc w:val="left"/>
      <w:pPr>
        <w:ind w:left="4320" w:hanging="360"/>
      </w:pPr>
    </w:lvl>
    <w:lvl w:ilvl="6" w:tplc="49252767">
      <w:start w:val="1"/>
      <w:numFmt w:val="decimal"/>
      <w:lvlText w:val="%7."/>
      <w:lvlJc w:val="left"/>
      <w:pPr>
        <w:ind w:left="5040" w:hanging="360"/>
      </w:pPr>
    </w:lvl>
    <w:lvl w:ilvl="7" w:tplc="1DA2ABA6">
      <w:start w:val="1"/>
      <w:numFmt w:val="decimal"/>
      <w:lvlText w:val="%8."/>
      <w:lvlJc w:val="left"/>
      <w:pPr>
        <w:ind w:left="5760" w:hanging="360"/>
      </w:pPr>
    </w:lvl>
    <w:lvl w:ilvl="8" w:tplc="5F5E20AD">
      <w:start w:val="1"/>
      <w:numFmt w:val="decimal"/>
      <w:lvlText w:val="%9."/>
      <w:lvlJc w:val="left"/>
      <w:pPr>
        <w:ind w:left="6480" w:hanging="360"/>
      </w:pPr>
    </w:lvl>
  </w:abstractNum>
  <w:abstractNum w:abstractNumId="27" w15:restartNumberingAfterBreak="0">
    <w:nsid w:val="578544F1"/>
    <w:multiLevelType w:val="hybridMultilevel"/>
    <w:tmpl w:val="603EA6C0"/>
    <w:lvl w:ilvl="0" w:tplc="C4A22926">
      <w:start w:val="1"/>
      <w:numFmt w:val="bullet"/>
      <w:lvlText w:val=""/>
      <w:lvlJc w:val="left"/>
      <w:pPr>
        <w:tabs>
          <w:tab w:val="left" w:pos="720"/>
        </w:tabs>
        <w:ind w:left="720" w:hanging="360"/>
      </w:pPr>
      <w:rPr>
        <w:rFonts w:ascii="Symbol" w:hAnsi="Symbol"/>
        <w:sz w:val="20"/>
      </w:rPr>
    </w:lvl>
    <w:lvl w:ilvl="1" w:tplc="1CD0AA9C">
      <w:start w:val="1"/>
      <w:numFmt w:val="bullet"/>
      <w:lvlText w:val=""/>
      <w:lvlJc w:val="left"/>
      <w:pPr>
        <w:tabs>
          <w:tab w:val="left" w:pos="1440"/>
        </w:tabs>
        <w:ind w:left="1440" w:hanging="360"/>
      </w:pPr>
      <w:rPr>
        <w:rFonts w:ascii="Symbol" w:hAnsi="Symbol"/>
        <w:sz w:val="20"/>
      </w:rPr>
    </w:lvl>
    <w:lvl w:ilvl="2" w:tplc="ADA8B9FE">
      <w:start w:val="1"/>
      <w:numFmt w:val="bullet"/>
      <w:lvlText w:val=""/>
      <w:lvlJc w:val="left"/>
      <w:pPr>
        <w:tabs>
          <w:tab w:val="left" w:pos="2160"/>
        </w:tabs>
        <w:ind w:left="2160" w:hanging="360"/>
      </w:pPr>
      <w:rPr>
        <w:rFonts w:ascii="Symbol" w:hAnsi="Symbol"/>
        <w:sz w:val="20"/>
      </w:rPr>
    </w:lvl>
    <w:lvl w:ilvl="3" w:tplc="D8C46B76">
      <w:start w:val="1"/>
      <w:numFmt w:val="bullet"/>
      <w:lvlText w:val=""/>
      <w:lvlJc w:val="left"/>
      <w:pPr>
        <w:tabs>
          <w:tab w:val="left" w:pos="2880"/>
        </w:tabs>
        <w:ind w:left="2880" w:hanging="360"/>
      </w:pPr>
      <w:rPr>
        <w:rFonts w:ascii="Symbol" w:hAnsi="Symbol"/>
        <w:sz w:val="20"/>
      </w:rPr>
    </w:lvl>
    <w:lvl w:ilvl="4" w:tplc="16307DEE">
      <w:start w:val="1"/>
      <w:numFmt w:val="bullet"/>
      <w:lvlText w:val=""/>
      <w:lvlJc w:val="left"/>
      <w:pPr>
        <w:tabs>
          <w:tab w:val="left" w:pos="3600"/>
        </w:tabs>
        <w:ind w:left="3600" w:hanging="360"/>
      </w:pPr>
      <w:rPr>
        <w:rFonts w:ascii="Symbol" w:hAnsi="Symbol"/>
        <w:sz w:val="20"/>
      </w:rPr>
    </w:lvl>
    <w:lvl w:ilvl="5" w:tplc="B7FCBD40">
      <w:start w:val="1"/>
      <w:numFmt w:val="bullet"/>
      <w:lvlText w:val=""/>
      <w:lvlJc w:val="left"/>
      <w:pPr>
        <w:tabs>
          <w:tab w:val="left" w:pos="4320"/>
        </w:tabs>
        <w:ind w:left="4320" w:hanging="360"/>
      </w:pPr>
      <w:rPr>
        <w:rFonts w:ascii="Symbol" w:hAnsi="Symbol"/>
        <w:sz w:val="20"/>
      </w:rPr>
    </w:lvl>
    <w:lvl w:ilvl="6" w:tplc="D72646DC">
      <w:start w:val="1"/>
      <w:numFmt w:val="bullet"/>
      <w:lvlText w:val=""/>
      <w:lvlJc w:val="left"/>
      <w:pPr>
        <w:tabs>
          <w:tab w:val="left" w:pos="5040"/>
        </w:tabs>
        <w:ind w:left="5040" w:hanging="360"/>
      </w:pPr>
      <w:rPr>
        <w:rFonts w:ascii="Symbol" w:hAnsi="Symbol"/>
        <w:sz w:val="20"/>
      </w:rPr>
    </w:lvl>
    <w:lvl w:ilvl="7" w:tplc="FC143DA0">
      <w:start w:val="1"/>
      <w:numFmt w:val="bullet"/>
      <w:lvlText w:val=""/>
      <w:lvlJc w:val="left"/>
      <w:pPr>
        <w:tabs>
          <w:tab w:val="left" w:pos="5760"/>
        </w:tabs>
        <w:ind w:left="5760" w:hanging="360"/>
      </w:pPr>
      <w:rPr>
        <w:rFonts w:ascii="Symbol" w:hAnsi="Symbol"/>
        <w:sz w:val="20"/>
      </w:rPr>
    </w:lvl>
    <w:lvl w:ilvl="8" w:tplc="8F52C4AA">
      <w:start w:val="1"/>
      <w:numFmt w:val="bullet"/>
      <w:lvlText w:val=""/>
      <w:lvlJc w:val="left"/>
      <w:pPr>
        <w:tabs>
          <w:tab w:val="left" w:pos="6480"/>
        </w:tabs>
        <w:ind w:left="6480" w:hanging="360"/>
      </w:pPr>
      <w:rPr>
        <w:rFonts w:ascii="Symbol" w:hAnsi="Symbol"/>
        <w:sz w:val="20"/>
      </w:rPr>
    </w:lvl>
  </w:abstractNum>
  <w:abstractNum w:abstractNumId="28" w15:restartNumberingAfterBreak="0">
    <w:nsid w:val="596BF5E7"/>
    <w:multiLevelType w:val="multilevel"/>
    <w:tmpl w:val="558686E8"/>
    <w:lvl w:ilvl="0">
      <w:start w:val="1"/>
      <w:numFmt w:val="none"/>
      <w:suff w:val="nothing"/>
      <w:lvlText w:val=""/>
      <w:lvlJc w:val="left"/>
      <w:pPr>
        <w:tabs>
          <w:tab w:val="left" w:pos="0"/>
        </w:tabs>
      </w:pPr>
    </w:lvl>
    <w:lvl w:ilvl="1">
      <w:start w:val="1"/>
      <w:numFmt w:val="none"/>
      <w:suff w:val="nothing"/>
      <w:lvlText w:val=""/>
      <w:lvlJc w:val="left"/>
      <w:pPr>
        <w:tabs>
          <w:tab w:val="left" w:pos="0"/>
        </w:tabs>
      </w:pPr>
    </w:lvl>
    <w:lvl w:ilvl="2">
      <w:start w:val="1"/>
      <w:numFmt w:val="none"/>
      <w:suff w:val="nothing"/>
      <w:lvlText w:val=""/>
      <w:lvlJc w:val="left"/>
      <w:pPr>
        <w:tabs>
          <w:tab w:val="left" w:pos="0"/>
        </w:tabs>
      </w:pPr>
    </w:lvl>
    <w:lvl w:ilvl="3">
      <w:start w:val="1"/>
      <w:numFmt w:val="none"/>
      <w:suff w:val="nothing"/>
      <w:lvlText w:val=""/>
      <w:lvlJc w:val="left"/>
      <w:pPr>
        <w:tabs>
          <w:tab w:val="left" w:pos="0"/>
        </w:tabs>
      </w:pPr>
    </w:lvl>
    <w:lvl w:ilvl="4">
      <w:start w:val="1"/>
      <w:numFmt w:val="none"/>
      <w:suff w:val="nothing"/>
      <w:lvlText w:val=""/>
      <w:lvlJc w:val="left"/>
      <w:pPr>
        <w:tabs>
          <w:tab w:val="left" w:pos="0"/>
        </w:tabs>
      </w:pPr>
    </w:lvl>
    <w:lvl w:ilvl="5">
      <w:start w:val="1"/>
      <w:numFmt w:val="none"/>
      <w:suff w:val="nothing"/>
      <w:lvlText w:val=""/>
      <w:lvlJc w:val="left"/>
      <w:pPr>
        <w:tabs>
          <w:tab w:val="left" w:pos="0"/>
        </w:tabs>
      </w:pPr>
    </w:lvl>
    <w:lvl w:ilvl="6">
      <w:start w:val="1"/>
      <w:numFmt w:val="none"/>
      <w:suff w:val="nothing"/>
      <w:lvlText w:val=""/>
      <w:lvlJc w:val="left"/>
      <w:pPr>
        <w:tabs>
          <w:tab w:val="left" w:pos="0"/>
        </w:tabs>
      </w:pPr>
    </w:lvl>
    <w:lvl w:ilvl="7">
      <w:start w:val="1"/>
      <w:numFmt w:val="none"/>
      <w:suff w:val="nothing"/>
      <w:lvlText w:val=""/>
      <w:lvlJc w:val="left"/>
      <w:pPr>
        <w:tabs>
          <w:tab w:val="left" w:pos="0"/>
        </w:tabs>
      </w:pPr>
    </w:lvl>
    <w:lvl w:ilvl="8">
      <w:start w:val="1"/>
      <w:numFmt w:val="none"/>
      <w:suff w:val="nothing"/>
      <w:lvlText w:val=""/>
      <w:lvlJc w:val="left"/>
      <w:pPr>
        <w:tabs>
          <w:tab w:val="left" w:pos="0"/>
        </w:tabs>
      </w:pPr>
    </w:lvl>
  </w:abstractNum>
  <w:abstractNum w:abstractNumId="29" w15:restartNumberingAfterBreak="0">
    <w:nsid w:val="5FDAEFFE"/>
    <w:multiLevelType w:val="hybridMultilevel"/>
    <w:tmpl w:val="0CA8D038"/>
    <w:lvl w:ilvl="0" w:tplc="249B020D">
      <w:start w:val="1"/>
      <w:numFmt w:val="decimal"/>
      <w:lvlText w:val="%1."/>
      <w:lvlJc w:val="left"/>
      <w:pPr>
        <w:ind w:left="720" w:hanging="360"/>
      </w:pPr>
    </w:lvl>
    <w:lvl w:ilvl="1" w:tplc="666FE2E5">
      <w:start w:val="1"/>
      <w:numFmt w:val="decimal"/>
      <w:lvlText w:val="%2."/>
      <w:lvlJc w:val="left"/>
      <w:pPr>
        <w:ind w:left="1440" w:hanging="360"/>
      </w:pPr>
    </w:lvl>
    <w:lvl w:ilvl="2" w:tplc="62AFFBBB">
      <w:start w:val="1"/>
      <w:numFmt w:val="decimal"/>
      <w:lvlText w:val="%3."/>
      <w:lvlJc w:val="left"/>
      <w:pPr>
        <w:ind w:left="2160" w:hanging="360"/>
      </w:pPr>
    </w:lvl>
    <w:lvl w:ilvl="3" w:tplc="172EF25B">
      <w:start w:val="1"/>
      <w:numFmt w:val="decimal"/>
      <w:lvlText w:val="%4."/>
      <w:lvlJc w:val="left"/>
      <w:pPr>
        <w:ind w:left="2880" w:hanging="360"/>
      </w:pPr>
    </w:lvl>
    <w:lvl w:ilvl="4" w:tplc="08CA22A3">
      <w:start w:val="1"/>
      <w:numFmt w:val="decimal"/>
      <w:lvlText w:val="%5."/>
      <w:lvlJc w:val="left"/>
      <w:pPr>
        <w:ind w:left="3600" w:hanging="360"/>
      </w:pPr>
    </w:lvl>
    <w:lvl w:ilvl="5" w:tplc="1AFBFD53">
      <w:start w:val="1"/>
      <w:numFmt w:val="decimal"/>
      <w:lvlText w:val="%6."/>
      <w:lvlJc w:val="left"/>
      <w:pPr>
        <w:ind w:left="4320" w:hanging="360"/>
      </w:pPr>
    </w:lvl>
    <w:lvl w:ilvl="6" w:tplc="256ED564">
      <w:start w:val="1"/>
      <w:numFmt w:val="decimal"/>
      <w:lvlText w:val="%7."/>
      <w:lvlJc w:val="left"/>
      <w:pPr>
        <w:ind w:left="5040" w:hanging="360"/>
      </w:pPr>
    </w:lvl>
    <w:lvl w:ilvl="7" w:tplc="0654E863">
      <w:start w:val="1"/>
      <w:numFmt w:val="decimal"/>
      <w:lvlText w:val="%8."/>
      <w:lvlJc w:val="left"/>
      <w:pPr>
        <w:ind w:left="5760" w:hanging="360"/>
      </w:pPr>
    </w:lvl>
    <w:lvl w:ilvl="8" w:tplc="268287E5">
      <w:start w:val="1"/>
      <w:numFmt w:val="decimal"/>
      <w:lvlText w:val="%9."/>
      <w:lvlJc w:val="left"/>
      <w:pPr>
        <w:ind w:left="6480" w:hanging="360"/>
      </w:pPr>
    </w:lvl>
  </w:abstractNum>
  <w:abstractNum w:abstractNumId="30" w15:restartNumberingAfterBreak="0">
    <w:nsid w:val="62750ADC"/>
    <w:multiLevelType w:val="hybridMultilevel"/>
    <w:tmpl w:val="DB083F54"/>
    <w:lvl w:ilvl="0" w:tplc="7331D5BF">
      <w:start w:val="1"/>
      <w:numFmt w:val="decimal"/>
      <w:lvlText w:val="%1."/>
      <w:lvlJc w:val="left"/>
      <w:pPr>
        <w:ind w:left="720" w:hanging="360"/>
      </w:pPr>
    </w:lvl>
    <w:lvl w:ilvl="1" w:tplc="53570699">
      <w:start w:val="1"/>
      <w:numFmt w:val="decimal"/>
      <w:lvlText w:val="%2."/>
      <w:lvlJc w:val="left"/>
      <w:pPr>
        <w:ind w:left="1440" w:hanging="360"/>
      </w:pPr>
    </w:lvl>
    <w:lvl w:ilvl="2" w:tplc="39F4A3D1">
      <w:start w:val="1"/>
      <w:numFmt w:val="decimal"/>
      <w:lvlText w:val="%3."/>
      <w:lvlJc w:val="left"/>
      <w:pPr>
        <w:ind w:left="2160" w:hanging="360"/>
      </w:pPr>
    </w:lvl>
    <w:lvl w:ilvl="3" w:tplc="0C230743">
      <w:start w:val="1"/>
      <w:numFmt w:val="decimal"/>
      <w:lvlText w:val="%4."/>
      <w:lvlJc w:val="left"/>
      <w:pPr>
        <w:ind w:left="2880" w:hanging="360"/>
      </w:pPr>
    </w:lvl>
    <w:lvl w:ilvl="4" w:tplc="5ED6900E">
      <w:start w:val="1"/>
      <w:numFmt w:val="decimal"/>
      <w:lvlText w:val="%5."/>
      <w:lvlJc w:val="left"/>
      <w:pPr>
        <w:ind w:left="3600" w:hanging="360"/>
      </w:pPr>
    </w:lvl>
    <w:lvl w:ilvl="5" w:tplc="5EBA4140">
      <w:start w:val="1"/>
      <w:numFmt w:val="decimal"/>
      <w:lvlText w:val="%6."/>
      <w:lvlJc w:val="left"/>
      <w:pPr>
        <w:ind w:left="4320" w:hanging="360"/>
      </w:pPr>
    </w:lvl>
    <w:lvl w:ilvl="6" w:tplc="631EC134">
      <w:start w:val="1"/>
      <w:numFmt w:val="decimal"/>
      <w:lvlText w:val="%7."/>
      <w:lvlJc w:val="left"/>
      <w:pPr>
        <w:ind w:left="5040" w:hanging="360"/>
      </w:pPr>
    </w:lvl>
    <w:lvl w:ilvl="7" w:tplc="2EF7738B">
      <w:start w:val="1"/>
      <w:numFmt w:val="decimal"/>
      <w:lvlText w:val="%8."/>
      <w:lvlJc w:val="left"/>
      <w:pPr>
        <w:ind w:left="5760" w:hanging="360"/>
      </w:pPr>
    </w:lvl>
    <w:lvl w:ilvl="8" w:tplc="6965E6BE">
      <w:start w:val="1"/>
      <w:numFmt w:val="decimal"/>
      <w:lvlText w:val="%9."/>
      <w:lvlJc w:val="left"/>
      <w:pPr>
        <w:ind w:left="6480" w:hanging="360"/>
      </w:pPr>
    </w:lvl>
  </w:abstractNum>
  <w:abstractNum w:abstractNumId="31" w15:restartNumberingAfterBreak="0">
    <w:nsid w:val="62D25F87"/>
    <w:multiLevelType w:val="hybridMultilevel"/>
    <w:tmpl w:val="F454BA56"/>
    <w:lvl w:ilvl="0" w:tplc="4D6F33BA">
      <w:start w:val="1"/>
      <w:numFmt w:val="bullet"/>
      <w:lvlText w:val="·"/>
      <w:lvlJc w:val="left"/>
      <w:pPr>
        <w:ind w:left="720" w:hanging="360"/>
      </w:pPr>
      <w:rPr>
        <w:rFonts w:ascii="Symbol" w:hAnsi="Symbol"/>
      </w:rPr>
    </w:lvl>
    <w:lvl w:ilvl="1" w:tplc="2050176B">
      <w:start w:val="1"/>
      <w:numFmt w:val="bullet"/>
      <w:lvlText w:val="o"/>
      <w:lvlJc w:val="left"/>
      <w:pPr>
        <w:ind w:left="1440" w:hanging="360"/>
      </w:pPr>
      <w:rPr>
        <w:rFonts w:ascii="Symbol" w:hAnsi="Symbol"/>
      </w:rPr>
    </w:lvl>
    <w:lvl w:ilvl="2" w:tplc="02A12257">
      <w:start w:val="1"/>
      <w:numFmt w:val="bullet"/>
      <w:lvlText w:val="·"/>
      <w:lvlJc w:val="left"/>
      <w:pPr>
        <w:ind w:left="2160" w:hanging="360"/>
      </w:pPr>
      <w:rPr>
        <w:rFonts w:ascii="Symbol" w:hAnsi="Symbol"/>
      </w:rPr>
    </w:lvl>
    <w:lvl w:ilvl="3" w:tplc="113D59AC">
      <w:start w:val="1"/>
      <w:numFmt w:val="bullet"/>
      <w:lvlText w:val="o"/>
      <w:lvlJc w:val="left"/>
      <w:pPr>
        <w:ind w:left="2880" w:hanging="360"/>
      </w:pPr>
      <w:rPr>
        <w:rFonts w:ascii="Symbol" w:hAnsi="Symbol"/>
      </w:rPr>
    </w:lvl>
    <w:lvl w:ilvl="4" w:tplc="3675789E">
      <w:start w:val="1"/>
      <w:numFmt w:val="bullet"/>
      <w:lvlText w:val="·"/>
      <w:lvlJc w:val="left"/>
      <w:pPr>
        <w:ind w:left="3600" w:hanging="360"/>
      </w:pPr>
      <w:rPr>
        <w:rFonts w:ascii="Symbol" w:hAnsi="Symbol"/>
      </w:rPr>
    </w:lvl>
    <w:lvl w:ilvl="5" w:tplc="3E8D46BC">
      <w:start w:val="1"/>
      <w:numFmt w:val="bullet"/>
      <w:lvlText w:val="o"/>
      <w:lvlJc w:val="left"/>
      <w:pPr>
        <w:ind w:left="4320" w:hanging="360"/>
      </w:pPr>
      <w:rPr>
        <w:rFonts w:ascii="Symbol" w:hAnsi="Symbol"/>
      </w:rPr>
    </w:lvl>
    <w:lvl w:ilvl="6" w:tplc="12C847FC">
      <w:start w:val="1"/>
      <w:numFmt w:val="bullet"/>
      <w:lvlText w:val="·"/>
      <w:lvlJc w:val="left"/>
      <w:pPr>
        <w:ind w:left="5040" w:hanging="360"/>
      </w:pPr>
      <w:rPr>
        <w:rFonts w:ascii="Symbol" w:hAnsi="Symbol"/>
      </w:rPr>
    </w:lvl>
    <w:lvl w:ilvl="7" w:tplc="6FAB2DCC">
      <w:start w:val="1"/>
      <w:numFmt w:val="bullet"/>
      <w:lvlText w:val="o"/>
      <w:lvlJc w:val="left"/>
      <w:pPr>
        <w:ind w:left="5760" w:hanging="360"/>
      </w:pPr>
      <w:rPr>
        <w:rFonts w:ascii="Symbol" w:hAnsi="Symbol"/>
      </w:rPr>
    </w:lvl>
    <w:lvl w:ilvl="8" w:tplc="474D18D2">
      <w:start w:val="1"/>
      <w:numFmt w:val="bullet"/>
      <w:lvlText w:val="·"/>
      <w:lvlJc w:val="left"/>
      <w:pPr>
        <w:ind w:left="6480" w:hanging="360"/>
      </w:pPr>
      <w:rPr>
        <w:rFonts w:ascii="Symbol" w:hAnsi="Symbol"/>
      </w:rPr>
    </w:lvl>
  </w:abstractNum>
  <w:abstractNum w:abstractNumId="32" w15:restartNumberingAfterBreak="0">
    <w:nsid w:val="664E1912"/>
    <w:multiLevelType w:val="hybridMultilevel"/>
    <w:tmpl w:val="D8B67226"/>
    <w:lvl w:ilvl="0" w:tplc="7F1472A5">
      <w:start w:val="1"/>
      <w:numFmt w:val="bullet"/>
      <w:lvlText w:val="·"/>
      <w:lvlJc w:val="left"/>
      <w:pPr>
        <w:ind w:left="720" w:hanging="360"/>
      </w:pPr>
      <w:rPr>
        <w:rFonts w:ascii="Symbol" w:hAnsi="Symbol"/>
      </w:rPr>
    </w:lvl>
    <w:lvl w:ilvl="1" w:tplc="3FA70FB7">
      <w:start w:val="1"/>
      <w:numFmt w:val="bullet"/>
      <w:lvlText w:val="o"/>
      <w:lvlJc w:val="left"/>
      <w:pPr>
        <w:ind w:left="1440" w:hanging="360"/>
      </w:pPr>
      <w:rPr>
        <w:rFonts w:ascii="Symbol" w:hAnsi="Symbol"/>
      </w:rPr>
    </w:lvl>
    <w:lvl w:ilvl="2" w:tplc="13D3A8EB">
      <w:start w:val="1"/>
      <w:numFmt w:val="bullet"/>
      <w:lvlText w:val="·"/>
      <w:lvlJc w:val="left"/>
      <w:pPr>
        <w:ind w:left="2160" w:hanging="360"/>
      </w:pPr>
      <w:rPr>
        <w:rFonts w:ascii="Symbol" w:hAnsi="Symbol"/>
      </w:rPr>
    </w:lvl>
    <w:lvl w:ilvl="3" w:tplc="6268569C">
      <w:start w:val="1"/>
      <w:numFmt w:val="bullet"/>
      <w:lvlText w:val="o"/>
      <w:lvlJc w:val="left"/>
      <w:pPr>
        <w:ind w:left="2880" w:hanging="360"/>
      </w:pPr>
      <w:rPr>
        <w:rFonts w:ascii="Symbol" w:hAnsi="Symbol"/>
      </w:rPr>
    </w:lvl>
    <w:lvl w:ilvl="4" w:tplc="7BA437F2">
      <w:start w:val="1"/>
      <w:numFmt w:val="bullet"/>
      <w:lvlText w:val="·"/>
      <w:lvlJc w:val="left"/>
      <w:pPr>
        <w:ind w:left="3600" w:hanging="360"/>
      </w:pPr>
      <w:rPr>
        <w:rFonts w:ascii="Symbol" w:hAnsi="Symbol"/>
      </w:rPr>
    </w:lvl>
    <w:lvl w:ilvl="5" w:tplc="2A5E023F">
      <w:start w:val="1"/>
      <w:numFmt w:val="bullet"/>
      <w:lvlText w:val="o"/>
      <w:lvlJc w:val="left"/>
      <w:pPr>
        <w:ind w:left="4320" w:hanging="360"/>
      </w:pPr>
      <w:rPr>
        <w:rFonts w:ascii="Symbol" w:hAnsi="Symbol"/>
      </w:rPr>
    </w:lvl>
    <w:lvl w:ilvl="6" w:tplc="014EDCE6">
      <w:start w:val="1"/>
      <w:numFmt w:val="bullet"/>
      <w:lvlText w:val="·"/>
      <w:lvlJc w:val="left"/>
      <w:pPr>
        <w:ind w:left="5040" w:hanging="360"/>
      </w:pPr>
      <w:rPr>
        <w:rFonts w:ascii="Symbol" w:hAnsi="Symbol"/>
      </w:rPr>
    </w:lvl>
    <w:lvl w:ilvl="7" w:tplc="5B3AB1D8">
      <w:start w:val="1"/>
      <w:numFmt w:val="bullet"/>
      <w:lvlText w:val="o"/>
      <w:lvlJc w:val="left"/>
      <w:pPr>
        <w:ind w:left="5760" w:hanging="360"/>
      </w:pPr>
      <w:rPr>
        <w:rFonts w:ascii="Symbol" w:hAnsi="Symbol"/>
      </w:rPr>
    </w:lvl>
    <w:lvl w:ilvl="8" w:tplc="1833B89F">
      <w:start w:val="1"/>
      <w:numFmt w:val="bullet"/>
      <w:lvlText w:val="·"/>
      <w:lvlJc w:val="left"/>
      <w:pPr>
        <w:ind w:left="6480" w:hanging="360"/>
      </w:pPr>
      <w:rPr>
        <w:rFonts w:ascii="Symbol" w:hAnsi="Symbol"/>
      </w:rPr>
    </w:lvl>
  </w:abstractNum>
  <w:abstractNum w:abstractNumId="33" w15:restartNumberingAfterBreak="0">
    <w:nsid w:val="68E92FF4"/>
    <w:multiLevelType w:val="hybridMultilevel"/>
    <w:tmpl w:val="01B26DC0"/>
    <w:lvl w:ilvl="0" w:tplc="465DCD87">
      <w:start w:val="1"/>
      <w:numFmt w:val="decimal"/>
      <w:lvlText w:val="%1."/>
      <w:lvlJc w:val="left"/>
      <w:pPr>
        <w:ind w:left="720" w:hanging="360"/>
      </w:pPr>
    </w:lvl>
    <w:lvl w:ilvl="1" w:tplc="4E3BD5CC">
      <w:start w:val="1"/>
      <w:numFmt w:val="decimal"/>
      <w:lvlText w:val="%2."/>
      <w:lvlJc w:val="left"/>
      <w:pPr>
        <w:ind w:left="1440" w:hanging="360"/>
      </w:pPr>
    </w:lvl>
    <w:lvl w:ilvl="2" w:tplc="5881915E">
      <w:start w:val="1"/>
      <w:numFmt w:val="decimal"/>
      <w:lvlText w:val="%3."/>
      <w:lvlJc w:val="left"/>
      <w:pPr>
        <w:ind w:left="2160" w:hanging="360"/>
      </w:pPr>
    </w:lvl>
    <w:lvl w:ilvl="3" w:tplc="11D4162C">
      <w:start w:val="1"/>
      <w:numFmt w:val="decimal"/>
      <w:lvlText w:val="%4."/>
      <w:lvlJc w:val="left"/>
      <w:pPr>
        <w:ind w:left="2880" w:hanging="360"/>
      </w:pPr>
    </w:lvl>
    <w:lvl w:ilvl="4" w:tplc="62A5ECCC">
      <w:start w:val="1"/>
      <w:numFmt w:val="decimal"/>
      <w:lvlText w:val="%5."/>
      <w:lvlJc w:val="left"/>
      <w:pPr>
        <w:ind w:left="3600" w:hanging="360"/>
      </w:pPr>
    </w:lvl>
    <w:lvl w:ilvl="5" w:tplc="77D16AEE">
      <w:start w:val="1"/>
      <w:numFmt w:val="decimal"/>
      <w:lvlText w:val="%6."/>
      <w:lvlJc w:val="left"/>
      <w:pPr>
        <w:ind w:left="4320" w:hanging="360"/>
      </w:pPr>
    </w:lvl>
    <w:lvl w:ilvl="6" w:tplc="252E5513">
      <w:start w:val="1"/>
      <w:numFmt w:val="decimal"/>
      <w:lvlText w:val="%7."/>
      <w:lvlJc w:val="left"/>
      <w:pPr>
        <w:ind w:left="5040" w:hanging="360"/>
      </w:pPr>
    </w:lvl>
    <w:lvl w:ilvl="7" w:tplc="30581E75">
      <w:start w:val="1"/>
      <w:numFmt w:val="decimal"/>
      <w:lvlText w:val="%8."/>
      <w:lvlJc w:val="left"/>
      <w:pPr>
        <w:ind w:left="5760" w:hanging="360"/>
      </w:pPr>
    </w:lvl>
    <w:lvl w:ilvl="8" w:tplc="03CF3029">
      <w:start w:val="1"/>
      <w:numFmt w:val="decimal"/>
      <w:lvlText w:val="%9."/>
      <w:lvlJc w:val="left"/>
      <w:pPr>
        <w:ind w:left="6480" w:hanging="360"/>
      </w:pPr>
    </w:lvl>
  </w:abstractNum>
  <w:abstractNum w:abstractNumId="34" w15:restartNumberingAfterBreak="0">
    <w:nsid w:val="726A2E04"/>
    <w:multiLevelType w:val="hybridMultilevel"/>
    <w:tmpl w:val="6458EA64"/>
    <w:lvl w:ilvl="0" w:tplc="A9581DAC">
      <w:start w:val="1"/>
      <w:numFmt w:val="bullet"/>
      <w:lvlText w:val=""/>
      <w:lvlJc w:val="left"/>
      <w:pPr>
        <w:tabs>
          <w:tab w:val="left" w:pos="720"/>
        </w:tabs>
        <w:ind w:left="720" w:hanging="360"/>
      </w:pPr>
      <w:rPr>
        <w:rFonts w:ascii="Symbol" w:hAnsi="Symbol"/>
        <w:sz w:val="20"/>
      </w:rPr>
    </w:lvl>
    <w:lvl w:ilvl="1" w:tplc="BDF87448">
      <w:start w:val="1"/>
      <w:numFmt w:val="bullet"/>
      <w:lvlText w:val=""/>
      <w:lvlJc w:val="left"/>
      <w:pPr>
        <w:tabs>
          <w:tab w:val="left" w:pos="1440"/>
        </w:tabs>
        <w:ind w:left="1440" w:hanging="360"/>
      </w:pPr>
      <w:rPr>
        <w:rFonts w:ascii="Symbol" w:hAnsi="Symbol"/>
        <w:sz w:val="20"/>
      </w:rPr>
    </w:lvl>
    <w:lvl w:ilvl="2" w:tplc="89921E92">
      <w:start w:val="1"/>
      <w:numFmt w:val="bullet"/>
      <w:lvlText w:val=""/>
      <w:lvlJc w:val="left"/>
      <w:pPr>
        <w:tabs>
          <w:tab w:val="left" w:pos="2160"/>
        </w:tabs>
        <w:ind w:left="2160" w:hanging="360"/>
      </w:pPr>
      <w:rPr>
        <w:rFonts w:ascii="Symbol" w:hAnsi="Symbol"/>
        <w:sz w:val="20"/>
      </w:rPr>
    </w:lvl>
    <w:lvl w:ilvl="3" w:tplc="39747CA4">
      <w:start w:val="1"/>
      <w:numFmt w:val="bullet"/>
      <w:lvlText w:val=""/>
      <w:lvlJc w:val="left"/>
      <w:pPr>
        <w:tabs>
          <w:tab w:val="left" w:pos="2880"/>
        </w:tabs>
        <w:ind w:left="2880" w:hanging="360"/>
      </w:pPr>
      <w:rPr>
        <w:rFonts w:ascii="Symbol" w:hAnsi="Symbol"/>
        <w:sz w:val="20"/>
      </w:rPr>
    </w:lvl>
    <w:lvl w:ilvl="4" w:tplc="2174BF06">
      <w:start w:val="1"/>
      <w:numFmt w:val="bullet"/>
      <w:lvlText w:val=""/>
      <w:lvlJc w:val="left"/>
      <w:pPr>
        <w:tabs>
          <w:tab w:val="left" w:pos="3600"/>
        </w:tabs>
        <w:ind w:left="3600" w:hanging="360"/>
      </w:pPr>
      <w:rPr>
        <w:rFonts w:ascii="Symbol" w:hAnsi="Symbol"/>
        <w:sz w:val="20"/>
      </w:rPr>
    </w:lvl>
    <w:lvl w:ilvl="5" w:tplc="D5269A16">
      <w:start w:val="1"/>
      <w:numFmt w:val="bullet"/>
      <w:lvlText w:val=""/>
      <w:lvlJc w:val="left"/>
      <w:pPr>
        <w:tabs>
          <w:tab w:val="left" w:pos="4320"/>
        </w:tabs>
        <w:ind w:left="4320" w:hanging="360"/>
      </w:pPr>
      <w:rPr>
        <w:rFonts w:ascii="Symbol" w:hAnsi="Symbol"/>
        <w:sz w:val="20"/>
      </w:rPr>
    </w:lvl>
    <w:lvl w:ilvl="6" w:tplc="C096AFDC">
      <w:start w:val="1"/>
      <w:numFmt w:val="bullet"/>
      <w:lvlText w:val=""/>
      <w:lvlJc w:val="left"/>
      <w:pPr>
        <w:tabs>
          <w:tab w:val="left" w:pos="5040"/>
        </w:tabs>
        <w:ind w:left="5040" w:hanging="360"/>
      </w:pPr>
      <w:rPr>
        <w:rFonts w:ascii="Symbol" w:hAnsi="Symbol"/>
        <w:sz w:val="20"/>
      </w:rPr>
    </w:lvl>
    <w:lvl w:ilvl="7" w:tplc="282A3DB8">
      <w:start w:val="1"/>
      <w:numFmt w:val="bullet"/>
      <w:lvlText w:val=""/>
      <w:lvlJc w:val="left"/>
      <w:pPr>
        <w:tabs>
          <w:tab w:val="left" w:pos="5760"/>
        </w:tabs>
        <w:ind w:left="5760" w:hanging="360"/>
      </w:pPr>
      <w:rPr>
        <w:rFonts w:ascii="Symbol" w:hAnsi="Symbol"/>
        <w:sz w:val="20"/>
      </w:rPr>
    </w:lvl>
    <w:lvl w:ilvl="8" w:tplc="3C585DB0">
      <w:start w:val="1"/>
      <w:numFmt w:val="bullet"/>
      <w:lvlText w:val=""/>
      <w:lvlJc w:val="left"/>
      <w:pPr>
        <w:tabs>
          <w:tab w:val="left" w:pos="6480"/>
        </w:tabs>
        <w:ind w:left="6480" w:hanging="360"/>
      </w:pPr>
      <w:rPr>
        <w:rFonts w:ascii="Symbol" w:hAnsi="Symbol"/>
        <w:sz w:val="20"/>
      </w:rPr>
    </w:lvl>
  </w:abstractNum>
  <w:abstractNum w:abstractNumId="35" w15:restartNumberingAfterBreak="0">
    <w:nsid w:val="757E3D43"/>
    <w:multiLevelType w:val="hybridMultilevel"/>
    <w:tmpl w:val="A07E7D92"/>
    <w:lvl w:ilvl="0" w:tplc="E26CF610">
      <w:start w:val="1"/>
      <w:numFmt w:val="bullet"/>
      <w:lvlText w:val=""/>
      <w:lvlJc w:val="left"/>
      <w:pPr>
        <w:tabs>
          <w:tab w:val="left" w:pos="720"/>
        </w:tabs>
        <w:ind w:left="720" w:hanging="360"/>
      </w:pPr>
      <w:rPr>
        <w:rFonts w:ascii="Symbol" w:hAnsi="Symbol"/>
        <w:sz w:val="20"/>
      </w:rPr>
    </w:lvl>
    <w:lvl w:ilvl="1" w:tplc="5D54DCA4">
      <w:start w:val="1"/>
      <w:numFmt w:val="bullet"/>
      <w:lvlText w:val=""/>
      <w:lvlJc w:val="left"/>
      <w:pPr>
        <w:tabs>
          <w:tab w:val="left" w:pos="1440"/>
        </w:tabs>
        <w:ind w:left="1440" w:hanging="360"/>
      </w:pPr>
      <w:rPr>
        <w:rFonts w:ascii="Symbol" w:hAnsi="Symbol"/>
        <w:sz w:val="20"/>
      </w:rPr>
    </w:lvl>
    <w:lvl w:ilvl="2" w:tplc="3A02EA2C">
      <w:start w:val="1"/>
      <w:numFmt w:val="bullet"/>
      <w:lvlText w:val=""/>
      <w:lvlJc w:val="left"/>
      <w:pPr>
        <w:tabs>
          <w:tab w:val="left" w:pos="2160"/>
        </w:tabs>
        <w:ind w:left="2160" w:hanging="360"/>
      </w:pPr>
      <w:rPr>
        <w:rFonts w:ascii="Symbol" w:hAnsi="Symbol"/>
        <w:sz w:val="20"/>
      </w:rPr>
    </w:lvl>
    <w:lvl w:ilvl="3" w:tplc="629A0DC8">
      <w:start w:val="1"/>
      <w:numFmt w:val="bullet"/>
      <w:lvlText w:val=""/>
      <w:lvlJc w:val="left"/>
      <w:pPr>
        <w:tabs>
          <w:tab w:val="left" w:pos="2880"/>
        </w:tabs>
        <w:ind w:left="2880" w:hanging="360"/>
      </w:pPr>
      <w:rPr>
        <w:rFonts w:ascii="Symbol" w:hAnsi="Symbol"/>
        <w:sz w:val="20"/>
      </w:rPr>
    </w:lvl>
    <w:lvl w:ilvl="4" w:tplc="33329364">
      <w:start w:val="1"/>
      <w:numFmt w:val="bullet"/>
      <w:lvlText w:val=""/>
      <w:lvlJc w:val="left"/>
      <w:pPr>
        <w:tabs>
          <w:tab w:val="left" w:pos="3600"/>
        </w:tabs>
        <w:ind w:left="3600" w:hanging="360"/>
      </w:pPr>
      <w:rPr>
        <w:rFonts w:ascii="Symbol" w:hAnsi="Symbol"/>
        <w:sz w:val="20"/>
      </w:rPr>
    </w:lvl>
    <w:lvl w:ilvl="5" w:tplc="0FEC5142">
      <w:start w:val="1"/>
      <w:numFmt w:val="bullet"/>
      <w:lvlText w:val=""/>
      <w:lvlJc w:val="left"/>
      <w:pPr>
        <w:tabs>
          <w:tab w:val="left" w:pos="4320"/>
        </w:tabs>
        <w:ind w:left="4320" w:hanging="360"/>
      </w:pPr>
      <w:rPr>
        <w:rFonts w:ascii="Symbol" w:hAnsi="Symbol"/>
        <w:sz w:val="20"/>
      </w:rPr>
    </w:lvl>
    <w:lvl w:ilvl="6" w:tplc="B860F146">
      <w:start w:val="1"/>
      <w:numFmt w:val="bullet"/>
      <w:lvlText w:val=""/>
      <w:lvlJc w:val="left"/>
      <w:pPr>
        <w:tabs>
          <w:tab w:val="left" w:pos="5040"/>
        </w:tabs>
        <w:ind w:left="5040" w:hanging="360"/>
      </w:pPr>
      <w:rPr>
        <w:rFonts w:ascii="Symbol" w:hAnsi="Symbol"/>
        <w:sz w:val="20"/>
      </w:rPr>
    </w:lvl>
    <w:lvl w:ilvl="7" w:tplc="A5E48E5A">
      <w:start w:val="1"/>
      <w:numFmt w:val="bullet"/>
      <w:lvlText w:val=""/>
      <w:lvlJc w:val="left"/>
      <w:pPr>
        <w:tabs>
          <w:tab w:val="left" w:pos="5760"/>
        </w:tabs>
        <w:ind w:left="5760" w:hanging="360"/>
      </w:pPr>
      <w:rPr>
        <w:rFonts w:ascii="Symbol" w:hAnsi="Symbol"/>
        <w:sz w:val="20"/>
      </w:rPr>
    </w:lvl>
    <w:lvl w:ilvl="8" w:tplc="742A0848">
      <w:start w:val="1"/>
      <w:numFmt w:val="bullet"/>
      <w:lvlText w:val=""/>
      <w:lvlJc w:val="left"/>
      <w:pPr>
        <w:tabs>
          <w:tab w:val="left" w:pos="6480"/>
        </w:tabs>
        <w:ind w:left="6480" w:hanging="360"/>
      </w:pPr>
      <w:rPr>
        <w:rFonts w:ascii="Symbol" w:hAnsi="Symbol"/>
        <w:sz w:val="20"/>
      </w:rPr>
    </w:lvl>
  </w:abstractNum>
  <w:abstractNum w:abstractNumId="36" w15:restartNumberingAfterBreak="0">
    <w:nsid w:val="76718CC8"/>
    <w:multiLevelType w:val="hybridMultilevel"/>
    <w:tmpl w:val="0F94F782"/>
    <w:lvl w:ilvl="0" w:tplc="4DE63D58">
      <w:start w:val="1"/>
      <w:numFmt w:val="decimal"/>
      <w:lvlText w:val="%1."/>
      <w:lvlJc w:val="left"/>
      <w:pPr>
        <w:ind w:left="1800" w:hanging="360"/>
      </w:pPr>
    </w:lvl>
    <w:lvl w:ilvl="1" w:tplc="4C95852F">
      <w:start w:val="1"/>
      <w:numFmt w:val="decimal"/>
      <w:lvlText w:val="%2."/>
      <w:lvlJc w:val="left"/>
      <w:pPr>
        <w:ind w:left="2520" w:hanging="360"/>
      </w:pPr>
    </w:lvl>
    <w:lvl w:ilvl="2" w:tplc="09AF7EDC">
      <w:start w:val="1"/>
      <w:numFmt w:val="decimal"/>
      <w:lvlText w:val="%3."/>
      <w:lvlJc w:val="left"/>
      <w:pPr>
        <w:ind w:left="3240" w:hanging="360"/>
      </w:pPr>
    </w:lvl>
    <w:lvl w:ilvl="3" w:tplc="1CDD3676">
      <w:start w:val="1"/>
      <w:numFmt w:val="decimal"/>
      <w:lvlText w:val="%4."/>
      <w:lvlJc w:val="left"/>
      <w:pPr>
        <w:ind w:left="3960" w:hanging="360"/>
      </w:pPr>
    </w:lvl>
    <w:lvl w:ilvl="4" w:tplc="51850ECF">
      <w:start w:val="1"/>
      <w:numFmt w:val="decimal"/>
      <w:lvlText w:val="%5."/>
      <w:lvlJc w:val="left"/>
      <w:pPr>
        <w:ind w:left="4680" w:hanging="360"/>
      </w:pPr>
    </w:lvl>
    <w:lvl w:ilvl="5" w:tplc="3EA494C1">
      <w:start w:val="1"/>
      <w:numFmt w:val="decimal"/>
      <w:lvlText w:val="%6."/>
      <w:lvlJc w:val="left"/>
      <w:pPr>
        <w:ind w:left="5400" w:hanging="360"/>
      </w:pPr>
    </w:lvl>
    <w:lvl w:ilvl="6" w:tplc="33A3A3D6">
      <w:start w:val="1"/>
      <w:numFmt w:val="decimal"/>
      <w:lvlText w:val="%7."/>
      <w:lvlJc w:val="left"/>
      <w:pPr>
        <w:ind w:left="6120" w:hanging="360"/>
      </w:pPr>
    </w:lvl>
    <w:lvl w:ilvl="7" w:tplc="6C4E285D">
      <w:start w:val="1"/>
      <w:numFmt w:val="decimal"/>
      <w:lvlText w:val="%8."/>
      <w:lvlJc w:val="left"/>
      <w:pPr>
        <w:ind w:left="6840" w:hanging="360"/>
      </w:pPr>
    </w:lvl>
    <w:lvl w:ilvl="8" w:tplc="5FF6E350">
      <w:start w:val="1"/>
      <w:numFmt w:val="decimal"/>
      <w:lvlText w:val="%9."/>
      <w:lvlJc w:val="left"/>
      <w:pPr>
        <w:ind w:left="7560" w:hanging="360"/>
      </w:pPr>
    </w:lvl>
  </w:abstractNum>
  <w:abstractNum w:abstractNumId="37" w15:restartNumberingAfterBreak="0">
    <w:nsid w:val="774631B5"/>
    <w:multiLevelType w:val="hybridMultilevel"/>
    <w:tmpl w:val="093C82F0"/>
    <w:lvl w:ilvl="0" w:tplc="4D6F33BA">
      <w:start w:val="1"/>
      <w:numFmt w:val="bullet"/>
      <w:lvlText w:val="·"/>
      <w:lvlJc w:val="left"/>
      <w:pPr>
        <w:ind w:left="1080" w:hanging="360"/>
      </w:pPr>
      <w:rPr>
        <w:rFonts w:ascii="Symbol" w:hAnsi="Symbol"/>
      </w:rPr>
    </w:lvl>
    <w:lvl w:ilvl="1" w:tplc="2050176B">
      <w:start w:val="1"/>
      <w:numFmt w:val="bullet"/>
      <w:lvlText w:val="o"/>
      <w:lvlJc w:val="left"/>
      <w:pPr>
        <w:ind w:left="1800" w:hanging="360"/>
      </w:pPr>
      <w:rPr>
        <w:rFonts w:ascii="Symbol" w:hAnsi="Symbol"/>
      </w:rPr>
    </w:lvl>
    <w:lvl w:ilvl="2" w:tplc="02A12257">
      <w:start w:val="1"/>
      <w:numFmt w:val="bullet"/>
      <w:lvlText w:val="·"/>
      <w:lvlJc w:val="left"/>
      <w:pPr>
        <w:ind w:left="2520" w:hanging="360"/>
      </w:pPr>
      <w:rPr>
        <w:rFonts w:ascii="Symbol" w:hAnsi="Symbol"/>
      </w:rPr>
    </w:lvl>
    <w:lvl w:ilvl="3" w:tplc="113D59AC">
      <w:start w:val="1"/>
      <w:numFmt w:val="bullet"/>
      <w:lvlText w:val="o"/>
      <w:lvlJc w:val="left"/>
      <w:pPr>
        <w:ind w:left="3240" w:hanging="360"/>
      </w:pPr>
      <w:rPr>
        <w:rFonts w:ascii="Symbol" w:hAnsi="Symbol"/>
      </w:rPr>
    </w:lvl>
    <w:lvl w:ilvl="4" w:tplc="3675789E">
      <w:start w:val="1"/>
      <w:numFmt w:val="bullet"/>
      <w:lvlText w:val="·"/>
      <w:lvlJc w:val="left"/>
      <w:pPr>
        <w:ind w:left="3960" w:hanging="360"/>
      </w:pPr>
      <w:rPr>
        <w:rFonts w:ascii="Symbol" w:hAnsi="Symbol"/>
      </w:rPr>
    </w:lvl>
    <w:lvl w:ilvl="5" w:tplc="3E8D46BC">
      <w:start w:val="1"/>
      <w:numFmt w:val="bullet"/>
      <w:lvlText w:val="o"/>
      <w:lvlJc w:val="left"/>
      <w:pPr>
        <w:ind w:left="4680" w:hanging="360"/>
      </w:pPr>
      <w:rPr>
        <w:rFonts w:ascii="Symbol" w:hAnsi="Symbol"/>
      </w:rPr>
    </w:lvl>
    <w:lvl w:ilvl="6" w:tplc="12C847FC">
      <w:start w:val="1"/>
      <w:numFmt w:val="bullet"/>
      <w:lvlText w:val="·"/>
      <w:lvlJc w:val="left"/>
      <w:pPr>
        <w:ind w:left="5400" w:hanging="360"/>
      </w:pPr>
      <w:rPr>
        <w:rFonts w:ascii="Symbol" w:hAnsi="Symbol"/>
      </w:rPr>
    </w:lvl>
    <w:lvl w:ilvl="7" w:tplc="6FAB2DCC">
      <w:start w:val="1"/>
      <w:numFmt w:val="bullet"/>
      <w:lvlText w:val="o"/>
      <w:lvlJc w:val="left"/>
      <w:pPr>
        <w:ind w:left="6120" w:hanging="360"/>
      </w:pPr>
      <w:rPr>
        <w:rFonts w:ascii="Symbol" w:hAnsi="Symbol"/>
      </w:rPr>
    </w:lvl>
    <w:lvl w:ilvl="8" w:tplc="474D18D2">
      <w:start w:val="1"/>
      <w:numFmt w:val="bullet"/>
      <w:lvlText w:val="·"/>
      <w:lvlJc w:val="left"/>
      <w:pPr>
        <w:ind w:left="6840" w:hanging="360"/>
      </w:pPr>
      <w:rPr>
        <w:rFonts w:ascii="Symbol" w:hAnsi="Symbol"/>
      </w:rPr>
    </w:lvl>
  </w:abstractNum>
  <w:abstractNum w:abstractNumId="38" w15:restartNumberingAfterBreak="0">
    <w:nsid w:val="7F6C2AC7"/>
    <w:multiLevelType w:val="multilevel"/>
    <w:tmpl w:val="03226A6E"/>
    <w:lvl w:ilvl="0">
      <w:start w:val="1"/>
      <w:numFmt w:val="none"/>
      <w:pStyle w:val="1"/>
      <w:suff w:val="nothing"/>
      <w:lvlText w:val=""/>
      <w:lvlJc w:val="left"/>
      <w:pPr>
        <w:tabs>
          <w:tab w:val="left" w:pos="0"/>
        </w:tabs>
      </w:pPr>
    </w:lvl>
    <w:lvl w:ilvl="1">
      <w:start w:val="1"/>
      <w:numFmt w:val="none"/>
      <w:suff w:val="nothing"/>
      <w:lvlText w:val=""/>
      <w:lvlJc w:val="left"/>
      <w:pPr>
        <w:tabs>
          <w:tab w:val="left" w:pos="0"/>
        </w:tabs>
      </w:pPr>
    </w:lvl>
    <w:lvl w:ilvl="2">
      <w:start w:val="1"/>
      <w:numFmt w:val="none"/>
      <w:suff w:val="nothing"/>
      <w:lvlText w:val=""/>
      <w:lvlJc w:val="left"/>
      <w:pPr>
        <w:tabs>
          <w:tab w:val="left" w:pos="0"/>
        </w:tabs>
      </w:pPr>
    </w:lvl>
    <w:lvl w:ilvl="3">
      <w:start w:val="1"/>
      <w:numFmt w:val="none"/>
      <w:suff w:val="nothing"/>
      <w:lvlText w:val=""/>
      <w:lvlJc w:val="left"/>
      <w:pPr>
        <w:tabs>
          <w:tab w:val="left" w:pos="0"/>
        </w:tabs>
      </w:pPr>
    </w:lvl>
    <w:lvl w:ilvl="4">
      <w:start w:val="1"/>
      <w:numFmt w:val="none"/>
      <w:suff w:val="nothing"/>
      <w:lvlText w:val=""/>
      <w:lvlJc w:val="left"/>
      <w:pPr>
        <w:tabs>
          <w:tab w:val="left" w:pos="0"/>
        </w:tabs>
      </w:pPr>
    </w:lvl>
    <w:lvl w:ilvl="5">
      <w:start w:val="1"/>
      <w:numFmt w:val="none"/>
      <w:suff w:val="nothing"/>
      <w:lvlText w:val=""/>
      <w:lvlJc w:val="left"/>
      <w:pPr>
        <w:tabs>
          <w:tab w:val="left" w:pos="0"/>
        </w:tabs>
      </w:pPr>
    </w:lvl>
    <w:lvl w:ilvl="6">
      <w:start w:val="1"/>
      <w:numFmt w:val="none"/>
      <w:suff w:val="nothing"/>
      <w:lvlText w:val=""/>
      <w:lvlJc w:val="left"/>
      <w:pPr>
        <w:tabs>
          <w:tab w:val="left" w:pos="0"/>
        </w:tabs>
      </w:pPr>
    </w:lvl>
    <w:lvl w:ilvl="7">
      <w:start w:val="1"/>
      <w:numFmt w:val="none"/>
      <w:suff w:val="nothing"/>
      <w:lvlText w:val=""/>
      <w:lvlJc w:val="left"/>
      <w:pPr>
        <w:tabs>
          <w:tab w:val="left" w:pos="0"/>
        </w:tabs>
      </w:pPr>
    </w:lvl>
    <w:lvl w:ilvl="8">
      <w:start w:val="1"/>
      <w:numFmt w:val="none"/>
      <w:suff w:val="nothing"/>
      <w:lvlText w:val=""/>
      <w:lvlJc w:val="left"/>
      <w:pPr>
        <w:tabs>
          <w:tab w:val="left" w:pos="0"/>
        </w:tabs>
      </w:pPr>
    </w:lvl>
  </w:abstractNum>
  <w:num w:numId="1">
    <w:abstractNumId w:val="38"/>
  </w:num>
  <w:num w:numId="2">
    <w:abstractNumId w:val="28"/>
  </w:num>
  <w:num w:numId="3">
    <w:abstractNumId w:val="19"/>
  </w:num>
  <w:num w:numId="4">
    <w:abstractNumId w:val="6"/>
  </w:num>
  <w:num w:numId="5">
    <w:abstractNumId w:val="14"/>
  </w:num>
  <w:num w:numId="6">
    <w:abstractNumId w:val="21"/>
  </w:num>
  <w:num w:numId="7">
    <w:abstractNumId w:val="29"/>
  </w:num>
  <w:num w:numId="8">
    <w:abstractNumId w:val="25"/>
  </w:num>
  <w:num w:numId="9">
    <w:abstractNumId w:val="4"/>
  </w:num>
  <w:num w:numId="10">
    <w:abstractNumId w:val="31"/>
  </w:num>
  <w:num w:numId="11">
    <w:abstractNumId w:val="20"/>
  </w:num>
  <w:num w:numId="12">
    <w:abstractNumId w:val="37"/>
  </w:num>
  <w:num w:numId="13">
    <w:abstractNumId w:val="36"/>
  </w:num>
  <w:num w:numId="14">
    <w:abstractNumId w:val="26"/>
  </w:num>
  <w:num w:numId="15">
    <w:abstractNumId w:val="30"/>
  </w:num>
  <w:num w:numId="16">
    <w:abstractNumId w:val="8"/>
  </w:num>
  <w:num w:numId="17">
    <w:abstractNumId w:val="32"/>
  </w:num>
  <w:num w:numId="18">
    <w:abstractNumId w:val="17"/>
  </w:num>
  <w:num w:numId="19">
    <w:abstractNumId w:val="10"/>
  </w:num>
  <w:num w:numId="20">
    <w:abstractNumId w:val="2"/>
  </w:num>
  <w:num w:numId="21">
    <w:abstractNumId w:val="23"/>
  </w:num>
  <w:num w:numId="22">
    <w:abstractNumId w:val="18"/>
  </w:num>
  <w:num w:numId="23">
    <w:abstractNumId w:val="13"/>
  </w:num>
  <w:num w:numId="24">
    <w:abstractNumId w:val="5"/>
  </w:num>
  <w:num w:numId="25">
    <w:abstractNumId w:val="11"/>
  </w:num>
  <w:num w:numId="26">
    <w:abstractNumId w:val="7"/>
  </w:num>
  <w:num w:numId="27">
    <w:abstractNumId w:val="33"/>
  </w:num>
  <w:num w:numId="28">
    <w:abstractNumId w:val="24"/>
  </w:num>
  <w:num w:numId="29">
    <w:abstractNumId w:val="22"/>
  </w:num>
  <w:num w:numId="30">
    <w:abstractNumId w:val="16"/>
  </w:num>
  <w:num w:numId="31">
    <w:abstractNumId w:val="9"/>
  </w:num>
  <w:num w:numId="32">
    <w:abstractNumId w:val="12"/>
  </w:num>
  <w:num w:numId="33">
    <w:abstractNumId w:val="15"/>
  </w:num>
  <w:num w:numId="34">
    <w:abstractNumId w:val="0"/>
  </w:num>
  <w:num w:numId="35">
    <w:abstractNumId w:val="34"/>
  </w:num>
  <w:num w:numId="36">
    <w:abstractNumId w:val="3"/>
  </w:num>
  <w:num w:numId="37">
    <w:abstractNumId w:val="35"/>
  </w:num>
  <w:num w:numId="38">
    <w:abstractNumId w:val="2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5E9"/>
    <w:rsid w:val="00146490"/>
    <w:rsid w:val="002874A3"/>
    <w:rsid w:val="007155E9"/>
    <w:rsid w:val="008A305F"/>
    <w:rsid w:val="00921054"/>
    <w:rsid w:val="00E62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F54FB"/>
  <w15:docId w15:val="{F3EEEC50-39DE-4DEC-A19D-E18DFBCC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4"/>
    </w:rPr>
  </w:style>
  <w:style w:type="paragraph" w:styleId="1">
    <w:name w:val="heading 1"/>
    <w:basedOn w:val="10"/>
    <w:next w:val="a0"/>
    <w:link w:val="11"/>
    <w:qFormat/>
    <w:pPr>
      <w:numPr>
        <w:numId w:val="1"/>
      </w:numPr>
      <w:outlineLvl w:val="0"/>
    </w:pPr>
    <w:rPr>
      <w:b/>
      <w:sz w:val="36"/>
    </w:rPr>
  </w:style>
  <w:style w:type="paragraph" w:styleId="3">
    <w:name w:val="heading 3"/>
    <w:basedOn w:val="a"/>
    <w:next w:val="a"/>
    <w:link w:val="30"/>
    <w:qFormat/>
    <w:pPr>
      <w:keepNext/>
      <w:spacing w:before="240" w:after="60"/>
      <w:outlineLvl w:val="2"/>
    </w:pPr>
    <w:rPr>
      <w:rFonts w:ascii="Arial" w:hAnsi="Arial"/>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аголовок1"/>
    <w:basedOn w:val="a"/>
    <w:next w:val="a0"/>
    <w:pPr>
      <w:keepNext/>
      <w:spacing w:before="240" w:after="120"/>
    </w:pPr>
    <w:rPr>
      <w:rFonts w:ascii="Liberation Sans" w:hAnsi="Liberation Sans"/>
      <w:sz w:val="28"/>
    </w:rPr>
  </w:style>
  <w:style w:type="paragraph" w:styleId="a0">
    <w:name w:val="Body Text"/>
    <w:basedOn w:val="a"/>
    <w:link w:val="a4"/>
    <w:pPr>
      <w:spacing w:after="140"/>
    </w:pPr>
    <w:rPr>
      <w:sz w:val="22"/>
    </w:rPr>
  </w:style>
  <w:style w:type="paragraph" w:styleId="a5">
    <w:name w:val="List"/>
    <w:basedOn w:val="a0"/>
  </w:style>
  <w:style w:type="paragraph" w:styleId="a6">
    <w:name w:val="caption"/>
    <w:basedOn w:val="a"/>
    <w:next w:val="a"/>
    <w:qFormat/>
    <w:rPr>
      <w:b/>
      <w:sz w:val="20"/>
    </w:rPr>
  </w:style>
  <w:style w:type="paragraph" w:styleId="12">
    <w:name w:val="index 1"/>
    <w:basedOn w:val="a"/>
    <w:next w:val="a"/>
    <w:semiHidden/>
    <w:pPr>
      <w:ind w:left="220" w:hanging="220"/>
    </w:pPr>
    <w:rPr>
      <w:sz w:val="22"/>
    </w:rPr>
  </w:style>
  <w:style w:type="paragraph" w:styleId="a7">
    <w:name w:val="index heading"/>
    <w:basedOn w:val="a"/>
    <w:pPr>
      <w:suppressLineNumbers/>
    </w:pPr>
    <w:rPr>
      <w:sz w:val="22"/>
    </w:rPr>
  </w:style>
  <w:style w:type="paragraph" w:customStyle="1" w:styleId="a8">
    <w:name w:val="Колонтитул"/>
    <w:basedOn w:val="a"/>
    <w:pPr>
      <w:suppressLineNumbers/>
      <w:tabs>
        <w:tab w:val="center" w:pos="4845"/>
        <w:tab w:val="right" w:pos="9690"/>
      </w:tabs>
    </w:pPr>
    <w:rPr>
      <w:sz w:val="22"/>
    </w:rPr>
  </w:style>
  <w:style w:type="paragraph" w:styleId="a9">
    <w:name w:val="header"/>
    <w:basedOn w:val="a8"/>
    <w:link w:val="aa"/>
  </w:style>
  <w:style w:type="paragraph" w:customStyle="1" w:styleId="ab">
    <w:name w:val="Содержимое таблицы"/>
    <w:basedOn w:val="a"/>
    <w:pPr>
      <w:widowControl w:val="0"/>
      <w:suppressLineNumbers/>
    </w:pPr>
    <w:rPr>
      <w:sz w:val="22"/>
    </w:rPr>
  </w:style>
  <w:style w:type="paragraph" w:customStyle="1" w:styleId="ac">
    <w:name w:val="Заголовок таблицы"/>
    <w:basedOn w:val="ab"/>
    <w:pPr>
      <w:jc w:val="center"/>
    </w:pPr>
    <w:rPr>
      <w:b/>
    </w:rPr>
  </w:style>
  <w:style w:type="paragraph" w:styleId="ad">
    <w:name w:val="Title"/>
    <w:basedOn w:val="10"/>
    <w:next w:val="a0"/>
    <w:link w:val="ae"/>
    <w:qFormat/>
    <w:pPr>
      <w:jc w:val="center"/>
    </w:pPr>
    <w:rPr>
      <w:b/>
      <w:sz w:val="56"/>
    </w:rPr>
  </w:style>
  <w:style w:type="paragraph" w:styleId="af">
    <w:name w:val="Subtitle"/>
    <w:basedOn w:val="10"/>
    <w:next w:val="a0"/>
    <w:link w:val="af0"/>
    <w:qFormat/>
    <w:pPr>
      <w:spacing w:before="60"/>
      <w:jc w:val="center"/>
    </w:pPr>
    <w:rPr>
      <w:sz w:val="36"/>
    </w:rPr>
  </w:style>
  <w:style w:type="paragraph" w:customStyle="1" w:styleId="TableNormal1">
    <w:name w:val="Table Normal1"/>
    <w:pPr>
      <w:suppressAutoHyphens/>
      <w:spacing w:after="200" w:line="271" w:lineRule="auto"/>
    </w:pPr>
  </w:style>
  <w:style w:type="paragraph" w:customStyle="1" w:styleId="TableSimple11">
    <w:name w:val="Table Simple 11"/>
    <w:basedOn w:val="TableNormal1"/>
  </w:style>
  <w:style w:type="paragraph" w:customStyle="1" w:styleId="rtecenter">
    <w:name w:val="rtecenter"/>
    <w:basedOn w:val="a"/>
    <w:pPr>
      <w:spacing w:before="100" w:beforeAutospacing="1" w:after="100" w:afterAutospacing="1" w:line="240" w:lineRule="auto"/>
    </w:pPr>
    <w:rPr>
      <w:rFonts w:ascii="Times New Roman" w:hAnsi="Times New Roman"/>
    </w:rPr>
  </w:style>
  <w:style w:type="paragraph" w:customStyle="1" w:styleId="tjbmf">
    <w:name w:val="tj bmf"/>
    <w:basedOn w:val="a"/>
    <w:pPr>
      <w:spacing w:before="100" w:beforeAutospacing="1" w:after="100" w:afterAutospacing="1" w:line="240" w:lineRule="auto"/>
    </w:pPr>
    <w:rPr>
      <w:rFonts w:ascii="Times New Roman" w:hAnsi="Times New Roman"/>
    </w:rPr>
  </w:style>
  <w:style w:type="paragraph" w:styleId="af1">
    <w:name w:val="Normal (Web)"/>
    <w:basedOn w:val="a"/>
    <w:pPr>
      <w:spacing w:before="100" w:beforeAutospacing="1" w:after="100" w:afterAutospacing="1" w:line="240" w:lineRule="auto"/>
    </w:pPr>
    <w:rPr>
      <w:rFonts w:ascii="Times New Roman" w:hAnsi="Times New Roman"/>
    </w:rPr>
  </w:style>
  <w:style w:type="paragraph" w:customStyle="1" w:styleId="rtejustify">
    <w:name w:val="rtejustify"/>
    <w:basedOn w:val="a"/>
    <w:pPr>
      <w:spacing w:before="100" w:beforeAutospacing="1" w:after="100" w:afterAutospacing="1" w:line="240" w:lineRule="auto"/>
    </w:pPr>
    <w:rPr>
      <w:rFonts w:ascii="Times New Roman" w:hAnsi="Times New Roman"/>
    </w:rPr>
  </w:style>
  <w:style w:type="paragraph" w:customStyle="1" w:styleId="rteright">
    <w:name w:val="rteright"/>
    <w:basedOn w:val="a"/>
    <w:pPr>
      <w:spacing w:before="100" w:beforeAutospacing="1" w:after="100" w:afterAutospacing="1" w:line="240" w:lineRule="auto"/>
    </w:pPr>
    <w:rPr>
      <w:rFonts w:ascii="Times New Roman" w:hAnsi="Times New Roman"/>
    </w:rPr>
  </w:style>
  <w:style w:type="character" w:styleId="af2">
    <w:name w:val="line number"/>
    <w:basedOn w:val="a1"/>
    <w:semiHidden/>
  </w:style>
  <w:style w:type="character" w:styleId="af3">
    <w:name w:val="Hyperlink"/>
    <w:basedOn w:val="a1"/>
    <w:rPr>
      <w:color w:val="0000FF"/>
      <w:u w:val="single"/>
    </w:rPr>
  </w:style>
  <w:style w:type="character" w:customStyle="1" w:styleId="11">
    <w:name w:val="Заголовок 1 Знак"/>
    <w:basedOn w:val="a1"/>
    <w:link w:val="1"/>
    <w:rPr>
      <w:b/>
      <w:sz w:val="36"/>
    </w:rPr>
  </w:style>
  <w:style w:type="character" w:customStyle="1" w:styleId="30">
    <w:name w:val="Заголовок 3 Знак"/>
    <w:basedOn w:val="a1"/>
    <w:link w:val="3"/>
    <w:semiHidden/>
    <w:rPr>
      <w:rFonts w:ascii="Arial" w:hAnsi="Arial"/>
      <w:b/>
      <w:sz w:val="26"/>
    </w:rPr>
  </w:style>
  <w:style w:type="character" w:customStyle="1" w:styleId="a4">
    <w:name w:val="Основной текст Знак"/>
    <w:basedOn w:val="a1"/>
    <w:link w:val="a0"/>
    <w:semiHidden/>
    <w:rPr>
      <w:sz w:val="22"/>
    </w:rPr>
  </w:style>
  <w:style w:type="character" w:customStyle="1" w:styleId="aa">
    <w:name w:val="Верхний колонтитул Знак"/>
    <w:basedOn w:val="a1"/>
    <w:link w:val="a9"/>
    <w:semiHidden/>
  </w:style>
  <w:style w:type="character" w:customStyle="1" w:styleId="ae">
    <w:name w:val="Заголовок Знак"/>
    <w:basedOn w:val="a1"/>
    <w:link w:val="ad"/>
    <w:rPr>
      <w:b/>
      <w:sz w:val="56"/>
    </w:rPr>
  </w:style>
  <w:style w:type="character" w:customStyle="1" w:styleId="af0">
    <w:name w:val="Подзаголовок Знак"/>
    <w:basedOn w:val="a1"/>
    <w:link w:val="af"/>
    <w:rPr>
      <w:sz w:val="36"/>
    </w:rPr>
  </w:style>
  <w:style w:type="character" w:styleId="af4">
    <w:name w:val="page number"/>
    <w:basedOn w:val="a1"/>
  </w:style>
  <w:style w:type="character" w:styleId="af5">
    <w:name w:val="Strong"/>
    <w:basedOn w:val="a1"/>
    <w:qFormat/>
    <w:rPr>
      <w:b/>
    </w:rPr>
  </w:style>
  <w:style w:type="character" w:customStyle="1" w:styleId="hard-blue-color">
    <w:name w:val="hard-blue-color"/>
    <w:basedOn w:val="a1"/>
  </w:style>
  <w:style w:type="character" w:styleId="af6">
    <w:name w:val="FollowedHyperlink"/>
    <w:basedOn w:val="a1"/>
    <w:rPr>
      <w:color w:val="800080"/>
      <w:u w:val="single"/>
    </w:rPr>
  </w:style>
  <w:style w:type="character" w:styleId="af7">
    <w:name w:val="Emphasis"/>
    <w:basedOn w:val="a1"/>
    <w:qFormat/>
    <w:rPr>
      <w:i/>
    </w:rPr>
  </w:style>
  <w:style w:type="character" w:customStyle="1" w:styleId="mw-tmh-playervideo">
    <w:name w:val="mw-tmh-player video"/>
    <w:basedOn w:val="a1"/>
  </w:style>
  <w:style w:type="table" w:styleId="13">
    <w:name w:val="Table Simple 1"/>
    <w:basedOn w:val="a2"/>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file:///C:\Users\%25D0%2590%25D0%25B4%25D0%25BC%25D1%2596%25D0%25BD%25D1%2596%25D1%2581%25D1%2582%25D1%2580%25D0%25B0%25D1%2582%25D0%25BE%25D1%2580\Desktop\Zvit%2520%25D0%25A5%25D0%25BC%25D0%25B5%25D0%25BB%25D1%258C%25D0%25BD%25D0%25B8%25D1%2586%25D1%258C%25D0%25BA%25D0%25B8%25D0%25B9_2021.pdf" TargetMode="External"/><Relationship Id="rId13" Type="http://schemas.openxmlformats.org/officeDocument/2006/relationships/hyperlink" Target="https://uk.wikipedia.org/wiki_%20&#1044;&#1077;&#1085;&#1076;&#1088;&#1086;&#1087;&#1072;&#1088;&#1082;_%20" TargetMode="External"/><Relationship Id="rId18" Type="http://schemas.openxmlformats.org/officeDocument/2006/relationships/hyperlink" Target="https://uk.wikipedia.org/wiki/%D0%A1%D0%BA%D0%B2%D0%B5%D1%80_%D1%96%D0%BC%D0%B5%D0%BD%D1%96_%D0%A2%D0%B0%D1%80%D0%B0%D1%81%D0%B0_%D0%A8%D0%B5%D0%B2%D1%87%D0%B5%D0%BD%D0%BA%D0%B0_(%D0%A5%D0%BC%D0%B5%D0%BB%D1%8C%D0%BD%D0%B8%D1%86%D1%8C%D0%BA%D0%B8%D0%B9)" TargetMode="External"/><Relationship Id="rId26" Type="http://schemas.openxmlformats.org/officeDocument/2006/relationships/hyperlink" Target="https://ua.igotoworld.com/ua/poi_catalog/1263-211-historical-architectural-khmelnytskyi-oblast.htm?Page%20=5" TargetMode="External"/><Relationship Id="rId3" Type="http://schemas.openxmlformats.org/officeDocument/2006/relationships/settings" Target="settings.xml"/><Relationship Id="rId21" Type="http://schemas.openxmlformats.org/officeDocument/2006/relationships/hyperlink" Target="https://uk.wikipedia.org/wiki" TargetMode="External"/><Relationship Id="rId34" Type="http://schemas.openxmlformats.org/officeDocument/2006/relationships/hyperlink" Target="http://atlantidaspeleo" TargetMode="External"/><Relationship Id="rId7" Type="http://schemas.openxmlformats.org/officeDocument/2006/relationships/image" Target="media/image1.jpg"/><Relationship Id="rId12" Type="http://schemas.openxmlformats.org/officeDocument/2006/relationships/hyperlink" Target="https://uk.wikipedia.org/wiki/%D0%94%D0%B5%D0%BD%D0%B4%D1%80%D0%BE%D0%BF%D0%B0%D1%80%D0%BA_%C2%AB%D0%9F%D0%BE%D0%B4%D1%96%D0%BB%D0%BB%D1%8F%C2%BB_(%D0%A5%D0%BC%D0%B5%D0%BB%D1%8C%D0%BD%D0%B8%D1%86%D1%8C%D0%BA%D0%B8%D0%B9)" TargetMode="External"/><Relationship Id="rId17" Type="http://schemas.openxmlformats.org/officeDocument/2006/relationships/hyperlink" Target="https://uk.wikipedia" TargetMode="External"/><Relationship Id="rId25" Type="http://schemas.openxmlformats.org/officeDocument/2006/relationships/hyperlink" Target="https://ua.igotoworld.com/ua/poi_catalog/1263-211-historical-architectural-khmelnytskyi-oblast.htm?Page%20=5" TargetMode="External"/><Relationship Id="rId33" Type="http://schemas.openxmlformats.org/officeDocument/2006/relationships/hyperlink" Target="https://www.kh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k.wikipedia.org/wiki/%D0%9F%D0%B0%D1%80%D0%BA_%D0%BA%D1%83%D0%BB%D1%8C%D1%82%D1%83%D1%80%D0%B8_%D1%96_%D0%B2%D1%96%D0%B4%D0%BF%D0%BE%D1%87%D0%B8%D0%BD%D0%BA%D1%83_%D1%96%D0%BC%D0%B5%D0%BD%D1%96_%D0%9C%D0%B8%D1%85%D0%B0%D0%B9%D0%BB%D0%B0_%D0%A7%D0%B5%D0%BA%D0%BC%D0%B0%D0%BD%D0%B0" TargetMode="External"/><Relationship Id="rId20" Type="http://schemas.openxmlformats.org/officeDocument/2006/relationships/hyperlink" Target="https://uk.wikipedia.org/wiki/" TargetMode="External"/><Relationship Id="rId29" Type="http://schemas.openxmlformats.org/officeDocument/2006/relationships/hyperlink" Target="https://ua.igotoworld.com/ua/poi_catalog/1263-211-historical-architectural-khmelnytskyi-oblast.htm?page%2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20/" TargetMode="External"/><Relationship Id="rId24" Type="http://schemas.openxmlformats.org/officeDocument/2006/relationships/hyperlink" Target="https://uk.wikipedia.org/wiki%20/" TargetMode="External"/><Relationship Id="rId32" Type="http://schemas.openxmlformats.org/officeDocument/2006/relationships/hyperlink" Target="https://kam-pod.gov.ua/spmr/pidrozdili-miskoji-radi/ite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k.wikipedia" TargetMode="External"/><Relationship Id="rId23" Type="http://schemas.openxmlformats.org/officeDocument/2006/relationships/hyperlink" Target="https://uk.wikipedia.org/wiki/" TargetMode="External"/><Relationship Id="rId28" Type="http://schemas.openxmlformats.org/officeDocument/2006/relationships/hyperlink" Target="https://ua.igotoworld.com/ua/poi_catalog/1263-211-historical-architectural-khmelnytskyi-oblast.htm?Page%20=7" TargetMode="External"/><Relationship Id="rId36" Type="http://schemas.openxmlformats.org/officeDocument/2006/relationships/header" Target="header2.xml"/><Relationship Id="rId10" Type="http://schemas.openxmlformats.org/officeDocument/2006/relationships/hyperlink" Target="https://uk.wikipedia.org/wiki/%D0%91%D0%BE%D1%82%D0%B0%D0%BD%D1%96%D1%87%D0%BD%D0%B8%D0%B9_%D1%81%D0%B0%D0%B4_%D0%A5%D0%BC%D0%B5%D0%BB%D1%8C%D0%BD%D0%B8%D1%86%D1%8C%D0%BA%D0%BE%D0%B3%D0%BE_%D0%BD%D0%B0%D1%86%D1%96%D0%BE%D0%BD%D0%B0%D0%BB%D1%8C%D0%BD%D0%BE%D0%B3%D0%BE_%D1%83%D0%BD%D1%96%D0%B2%D0%B5%D1%80%D1%81%D0%B8%D1%82%D0%B5%D1%82%D1%83" TargetMode="External"/><Relationship Id="rId19" Type="http://schemas.openxmlformats.org/officeDocument/2006/relationships/hyperlink" Target="https://uk.wikipedia.org/wiki/" TargetMode="External"/><Relationship Id="rId31" Type="http://schemas.openxmlformats.org/officeDocument/2006/relationships/hyperlink" Target="https://ips.ligazakon.net/documen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k.wikipedia.org/wiki/%D0%97%D0%B0%D1%80%D1%96%D1%87%D1%87%D1%8F_(%D0%BF%D0%B0%D1%80%D0%BA)" TargetMode="External"/><Relationship Id="rId22" Type="http://schemas.openxmlformats.org/officeDocument/2006/relationships/hyperlink" Target="https://uk.wikipedia.org/wiki/&#1041;&#1091;&#1082;_%20&#1095;&#1077;&#1088;&#1074;&#1086;&#1085;&#1080;&#1081;_(&#1061;&#1084;&#1077;&#1083;&#1100;&#1085;&#1080;&#1094;&#1100;&#1082;&#1080;&#1081;,_&#1074;&#1091;&#1083;._&#1043;&#1077;&#1088;&#1086;&#1111;&#1074;_" TargetMode="External"/><Relationship Id="rId27" Type="http://schemas.openxmlformats.org/officeDocument/2006/relationships/hyperlink" Target="https://ua.igotoworld.com/ua/" TargetMode="External"/><Relationship Id="rId30" Type="http://schemas.openxmlformats.org/officeDocument/2006/relationships/hyperlink" Target="https://ua.igotoworld.com/ua/poi_catalog/1263-211-historical-architectural-khmelnytskyi-oblast.htm?page%20=9"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84</Pages>
  <Words>20091</Words>
  <Characters>114525</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4</cp:revision>
  <dcterms:created xsi:type="dcterms:W3CDTF">2024-11-12T10:31:00Z</dcterms:created>
  <dcterms:modified xsi:type="dcterms:W3CDTF">2024-11-12T12:44:00Z</dcterms:modified>
</cp:coreProperties>
</file>